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eastAsiaTheme="minorEastAsia"/>
          <w:b/>
          <w:sz w:val="32"/>
          <w:szCs w:val="32"/>
        </w:rPr>
      </w:pPr>
      <w:bookmarkStart w:id="0" w:name="_Toc3671"/>
      <w:r>
        <w:rPr>
          <w:rFonts w:hint="eastAsia" w:cs="宋体" w:asciiTheme="minorEastAsia" w:hAnsiTheme="minorEastAsia" w:eastAsiaTheme="minorEastAsia"/>
          <w:b/>
          <w:sz w:val="32"/>
          <w:szCs w:val="32"/>
          <w:lang w:eastAsia="zh-CN"/>
        </w:rPr>
        <w:t>惠州市中大惠亚医院</w:t>
      </w:r>
      <w:r>
        <w:rPr>
          <w:rFonts w:cs="宋体" w:asciiTheme="minorEastAsia" w:hAnsiTheme="minorEastAsia" w:eastAsiaTheme="minorEastAsia"/>
          <w:b/>
          <w:sz w:val="32"/>
          <w:szCs w:val="32"/>
        </w:rPr>
        <w:t>2023</w:t>
      </w:r>
      <w:r>
        <w:rPr>
          <w:rFonts w:hint="eastAsia" w:cs="宋体" w:asciiTheme="minorEastAsia" w:hAnsiTheme="minorEastAsia" w:eastAsiaTheme="minorEastAsia"/>
          <w:b/>
          <w:sz w:val="32"/>
          <w:szCs w:val="32"/>
        </w:rPr>
        <w:t>年弱电系统维护服务项目技术需求书</w:t>
      </w:r>
    </w:p>
    <w:p>
      <w:pPr>
        <w:pStyle w:val="2"/>
        <w:rPr>
          <w:rFonts w:ascii="Tahoma" w:hAnsi="Tahoma"/>
          <w:sz w:val="21"/>
          <w:szCs w:val="21"/>
        </w:rPr>
      </w:pPr>
      <w:r>
        <w:rPr>
          <w:rFonts w:hint="eastAsia" w:cs="宋体" w:asciiTheme="minorEastAsia" w:hAnsiTheme="minorEastAsia" w:eastAsiaTheme="minorEastAsia"/>
          <w:b/>
          <w:kern w:val="2"/>
          <w:sz w:val="21"/>
          <w:szCs w:val="21"/>
        </w:rPr>
        <w:t>一、技术服务要求</w:t>
      </w:r>
      <w:bookmarkEnd w:id="0"/>
      <w:bookmarkStart w:id="1" w:name="_GoBack"/>
      <w:bookmarkEnd w:id="1"/>
    </w:p>
    <w:p>
      <w:pPr>
        <w:spacing w:line="480" w:lineRule="exact"/>
        <w:ind w:firstLine="420" w:firstLineChars="200"/>
        <w:rPr>
          <w:sz w:val="21"/>
          <w:szCs w:val="21"/>
        </w:rPr>
      </w:pPr>
      <w:r>
        <w:rPr>
          <w:rFonts w:hint="eastAsia"/>
          <w:sz w:val="21"/>
          <w:szCs w:val="21"/>
        </w:rPr>
        <w:t>（一）项目维护服务整体要求：</w:t>
      </w:r>
    </w:p>
    <w:p>
      <w:pPr>
        <w:spacing w:line="480" w:lineRule="exact"/>
        <w:ind w:firstLine="420" w:firstLineChars="200"/>
        <w:rPr>
          <w:sz w:val="21"/>
          <w:szCs w:val="21"/>
        </w:rPr>
      </w:pPr>
      <w:r>
        <w:rPr>
          <w:rFonts w:hint="eastAsia"/>
          <w:sz w:val="21"/>
          <w:szCs w:val="21"/>
        </w:rPr>
        <w:t>1、稳定运行保障：制定和调整系统检查和维护方案，保证采购人在用各系统及其功能的完整性及正确性，能承受不断增加的业务和数据压力，保证系统运行的高效、稳定。</w:t>
      </w:r>
    </w:p>
    <w:p>
      <w:pPr>
        <w:spacing w:line="480" w:lineRule="exact"/>
        <w:ind w:firstLine="420" w:firstLineChars="200"/>
        <w:rPr>
          <w:sz w:val="21"/>
          <w:szCs w:val="21"/>
        </w:rPr>
      </w:pPr>
      <w:r>
        <w:rPr>
          <w:rFonts w:hint="eastAsia"/>
          <w:sz w:val="21"/>
          <w:szCs w:val="21"/>
        </w:rPr>
        <w:t>2、系统错误修复：系统在使用过程中发现的错误，在第一时间完成修复。</w:t>
      </w:r>
    </w:p>
    <w:p>
      <w:pPr>
        <w:spacing w:line="480" w:lineRule="exact"/>
        <w:ind w:firstLine="420" w:firstLineChars="200"/>
        <w:rPr>
          <w:sz w:val="21"/>
          <w:szCs w:val="21"/>
        </w:rPr>
      </w:pPr>
      <w:r>
        <w:rPr>
          <w:rFonts w:hint="eastAsia"/>
          <w:sz w:val="21"/>
          <w:szCs w:val="21"/>
        </w:rPr>
        <w:t>3、新增功能需求：在系统结构允许的范围内，根据医院管理和业务变化做出必要的信息应用变更、功能新增和调整。</w:t>
      </w:r>
    </w:p>
    <w:p>
      <w:pPr>
        <w:spacing w:line="480" w:lineRule="exact"/>
        <w:ind w:firstLine="420" w:firstLineChars="200"/>
        <w:rPr>
          <w:sz w:val="21"/>
          <w:szCs w:val="21"/>
        </w:rPr>
      </w:pPr>
      <w:r>
        <w:rPr>
          <w:rFonts w:hint="eastAsia"/>
          <w:sz w:val="21"/>
          <w:szCs w:val="21"/>
        </w:rPr>
        <w:t>4、适应性调整：维护期内，弱电系统应适应系统硬件（包括服务器、客户端），软件（如操作系统、数据库系统）等发生改变而做相应合理性调整。</w:t>
      </w:r>
    </w:p>
    <w:p>
      <w:pPr>
        <w:spacing w:line="480" w:lineRule="exact"/>
        <w:ind w:firstLine="420" w:firstLineChars="200"/>
        <w:rPr>
          <w:sz w:val="21"/>
          <w:szCs w:val="21"/>
        </w:rPr>
      </w:pPr>
      <w:r>
        <w:rPr>
          <w:rFonts w:hint="eastAsia"/>
          <w:sz w:val="21"/>
          <w:szCs w:val="21"/>
        </w:rPr>
        <w:t>5、维护期内，对维护范围内的系统，在系统结构允许的范围内，采购人购买的第三方软件、设备需要集成到所维护的弱电系统中时，供应商配合采购人完成相应的端口与数据配置。</w:t>
      </w:r>
    </w:p>
    <w:p>
      <w:pPr>
        <w:spacing w:line="480" w:lineRule="exact"/>
        <w:ind w:firstLine="420" w:firstLineChars="200"/>
        <w:rPr>
          <w:sz w:val="21"/>
          <w:szCs w:val="21"/>
        </w:rPr>
      </w:pPr>
      <w:r>
        <w:rPr>
          <w:rFonts w:hint="eastAsia"/>
          <w:sz w:val="21"/>
          <w:szCs w:val="21"/>
        </w:rPr>
        <w:t>6、系统安全维护：负责维护范围内支撑软硬件平台（含操作系统、数据库等系统平台软件）的管理、监控、维护与安全保障。</w:t>
      </w:r>
    </w:p>
    <w:p>
      <w:pPr>
        <w:spacing w:line="480" w:lineRule="exact"/>
        <w:ind w:firstLine="420" w:firstLineChars="200"/>
        <w:rPr>
          <w:sz w:val="21"/>
          <w:szCs w:val="21"/>
        </w:rPr>
      </w:pPr>
      <w:r>
        <w:rPr>
          <w:rFonts w:hint="eastAsia"/>
          <w:sz w:val="21"/>
          <w:szCs w:val="21"/>
        </w:rPr>
        <w:t>7、数据备份：负责维护范围内系统数据备份，保障数据的安全性。</w:t>
      </w:r>
    </w:p>
    <w:p>
      <w:pPr>
        <w:spacing w:line="480" w:lineRule="exact"/>
        <w:ind w:firstLine="420" w:firstLineChars="200"/>
        <w:rPr>
          <w:sz w:val="21"/>
          <w:szCs w:val="21"/>
        </w:rPr>
      </w:pPr>
      <w:r>
        <w:rPr>
          <w:rFonts w:hint="eastAsia"/>
          <w:sz w:val="21"/>
          <w:szCs w:val="21"/>
        </w:rPr>
        <w:t>8、实施培训：负责因各种原因变化增加的项目实施和人员培训工作。</w:t>
      </w:r>
    </w:p>
    <w:p>
      <w:pPr>
        <w:spacing w:line="480" w:lineRule="exact"/>
        <w:ind w:firstLine="420" w:firstLineChars="200"/>
        <w:rPr>
          <w:sz w:val="21"/>
          <w:szCs w:val="21"/>
        </w:rPr>
      </w:pPr>
      <w:r>
        <w:rPr>
          <w:rFonts w:hint="eastAsia"/>
          <w:sz w:val="21"/>
          <w:szCs w:val="21"/>
        </w:rPr>
        <w:t>▲9、业务适应性需求：当现有系统性能、架构不能满足医院业务需求时，应对系统架构、系统性能做出适当的调整完善和升级，以满足医院业务的正常发展。</w:t>
      </w:r>
    </w:p>
    <w:p>
      <w:pPr>
        <w:spacing w:line="480" w:lineRule="exact"/>
        <w:ind w:firstLine="420" w:firstLineChars="200"/>
        <w:rPr>
          <w:sz w:val="21"/>
          <w:szCs w:val="21"/>
        </w:rPr>
      </w:pPr>
      <w:r>
        <w:rPr>
          <w:rFonts w:hint="eastAsia"/>
          <w:sz w:val="21"/>
          <w:szCs w:val="21"/>
        </w:rPr>
        <w:t>▲10、为适应业务应用管理所需，投标人须对部分系统进行必要升级改造，所使用设备系统满足技术需求要求，并能良好兼容现有系统保证系统的稳定使用。</w:t>
      </w:r>
    </w:p>
    <w:p>
      <w:pPr>
        <w:spacing w:line="480" w:lineRule="exact"/>
        <w:ind w:firstLine="420" w:firstLineChars="200"/>
        <w:rPr>
          <w:sz w:val="21"/>
          <w:szCs w:val="21"/>
        </w:rPr>
      </w:pPr>
      <w:r>
        <w:rPr>
          <w:rFonts w:hint="eastAsia"/>
          <w:sz w:val="21"/>
          <w:szCs w:val="21"/>
        </w:rPr>
        <w:t>▲11、为确保医院业务的正常使用，投标人须在投标文件中提供对医院现有业务不中断情况下进行系统平台升级和维护的详细技术解决方案，以保证系统的兼容性和运行可靠性。</w:t>
      </w:r>
    </w:p>
    <w:p>
      <w:pPr>
        <w:spacing w:line="480" w:lineRule="exact"/>
        <w:ind w:firstLine="420" w:firstLineChars="200"/>
        <w:rPr>
          <w:sz w:val="21"/>
          <w:szCs w:val="21"/>
        </w:rPr>
      </w:pPr>
      <w:r>
        <w:rPr>
          <w:rFonts w:hint="eastAsia"/>
          <w:sz w:val="21"/>
          <w:szCs w:val="21"/>
        </w:rPr>
        <w:t>▲12、维保驻场服务：为便于快捷、稳定、有效的提供维保服务，满足医院工作需求，投标人须固定派驻服务于本项目的专业工程师2名，主要工作内容日常的设备巡检、保养、维修、更换等现场服务。</w:t>
      </w:r>
    </w:p>
    <w:p>
      <w:pPr>
        <w:spacing w:line="480" w:lineRule="exact"/>
        <w:ind w:firstLine="420" w:firstLineChars="200"/>
        <w:rPr>
          <w:sz w:val="21"/>
          <w:szCs w:val="21"/>
        </w:rPr>
      </w:pPr>
      <w:r>
        <w:rPr>
          <w:rFonts w:hint="eastAsia"/>
          <w:sz w:val="21"/>
          <w:szCs w:val="21"/>
        </w:rPr>
        <w:t>（二）项目维护服务范围清单</w:t>
      </w:r>
    </w:p>
    <w:p>
      <w:pPr>
        <w:spacing w:line="440" w:lineRule="exact"/>
        <w:ind w:firstLine="140" w:firstLineChars="67"/>
        <w:rPr>
          <w:sz w:val="21"/>
          <w:szCs w:val="21"/>
        </w:rPr>
      </w:pPr>
    </w:p>
    <w:tbl>
      <w:tblPr>
        <w:tblStyle w:val="44"/>
        <w:tblW w:w="5254" w:type="pct"/>
        <w:tblInd w:w="0" w:type="dxa"/>
        <w:tblLayout w:type="fixed"/>
        <w:tblCellMar>
          <w:top w:w="0" w:type="dxa"/>
          <w:left w:w="108" w:type="dxa"/>
          <w:bottom w:w="0" w:type="dxa"/>
          <w:right w:w="108" w:type="dxa"/>
        </w:tblCellMar>
      </w:tblPr>
      <w:tblGrid>
        <w:gridCol w:w="672"/>
        <w:gridCol w:w="1561"/>
        <w:gridCol w:w="2543"/>
        <w:gridCol w:w="851"/>
        <w:gridCol w:w="705"/>
        <w:gridCol w:w="82"/>
        <w:gridCol w:w="2330"/>
        <w:gridCol w:w="988"/>
        <w:gridCol w:w="18"/>
        <w:gridCol w:w="8"/>
      </w:tblGrid>
      <w:tr>
        <w:tblPrEx>
          <w:tblCellMar>
            <w:top w:w="0" w:type="dxa"/>
            <w:left w:w="108" w:type="dxa"/>
            <w:bottom w:w="0" w:type="dxa"/>
            <w:right w:w="108" w:type="dxa"/>
          </w:tblCellMar>
        </w:tblPrEx>
        <w:trPr>
          <w:gridAfter w:val="1"/>
          <w:wAfter w:w="4" w:type="pct"/>
          <w:trHeight w:val="285" w:hRule="atLeast"/>
        </w:trPr>
        <w:tc>
          <w:tcPr>
            <w:tcW w:w="345" w:type="pc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序号</w:t>
            </w:r>
          </w:p>
        </w:tc>
        <w:tc>
          <w:tcPr>
            <w:tcW w:w="800"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系统名称</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设备名称</w:t>
            </w:r>
          </w:p>
        </w:tc>
        <w:tc>
          <w:tcPr>
            <w:tcW w:w="436"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单位</w:t>
            </w:r>
          </w:p>
        </w:tc>
        <w:tc>
          <w:tcPr>
            <w:tcW w:w="361"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数量</w:t>
            </w:r>
          </w:p>
        </w:tc>
        <w:tc>
          <w:tcPr>
            <w:tcW w:w="1236"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规格型号</w:t>
            </w:r>
          </w:p>
        </w:tc>
        <w:tc>
          <w:tcPr>
            <w:tcW w:w="514" w:type="pct"/>
            <w:gridSpan w:val="2"/>
            <w:tcBorders>
              <w:top w:val="single" w:color="auto" w:sz="4" w:space="0"/>
              <w:left w:val="nil"/>
              <w:bottom w:val="single" w:color="auto" w:sz="4" w:space="0"/>
              <w:right w:val="single" w:color="auto" w:sz="4" w:space="0"/>
            </w:tcBorders>
            <w:shd w:val="clear" w:color="auto" w:fill="auto"/>
            <w:vAlign w:val="center"/>
          </w:tcPr>
          <w:p>
            <w:pPr>
              <w:ind w:right="1474" w:rightChars="614"/>
              <w:rPr>
                <w:sz w:val="21"/>
                <w:szCs w:val="21"/>
              </w:rPr>
            </w:pPr>
            <w:r>
              <w:rPr>
                <w:rFonts w:hint="eastAsia"/>
                <w:sz w:val="21"/>
                <w:szCs w:val="21"/>
              </w:rPr>
              <w:t>品牌</w:t>
            </w:r>
          </w:p>
        </w:tc>
      </w:tr>
      <w:tr>
        <w:tblPrEx>
          <w:tblCellMar>
            <w:top w:w="0" w:type="dxa"/>
            <w:left w:w="108" w:type="dxa"/>
            <w:bottom w:w="0" w:type="dxa"/>
            <w:right w:w="108" w:type="dxa"/>
          </w:tblCellMar>
        </w:tblPrEx>
        <w:trPr>
          <w:gridAfter w:val="1"/>
          <w:wAfter w:w="4" w:type="pct"/>
          <w:trHeight w:val="285" w:hRule="atLeast"/>
        </w:trPr>
        <w:tc>
          <w:tcPr>
            <w:tcW w:w="4996"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一、综合楼部分</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8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一卡通系统</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一卡通采集服务器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X3650</w:t>
            </w:r>
          </w:p>
        </w:tc>
        <w:tc>
          <w:tcPr>
            <w:tcW w:w="514"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IBM</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一卡通数据存储服务器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X3850</w:t>
            </w:r>
          </w:p>
        </w:tc>
        <w:tc>
          <w:tcPr>
            <w:tcW w:w="514"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IBM</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数据库软件</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DAC CSH-4.0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达实</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一卡通系统平台</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DAC C3-2006 </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达实</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加密狗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DAC-USBKEY</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达实</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32位四门门禁控制器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120</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DAC MJ8014</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达实</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32位双门门禁控制器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23</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DAC MJ8012</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达实</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门禁管理系统</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DAC C3-2006-MJ </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达实</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证卡打印机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smart lite</w:t>
            </w:r>
          </w:p>
        </w:tc>
        <w:tc>
          <w:tcPr>
            <w:tcW w:w="514"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smart</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Win server 2008 64位中文企业版</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Win server 2008 64位</w:t>
            </w:r>
          </w:p>
        </w:tc>
        <w:tc>
          <w:tcPr>
            <w:tcW w:w="514"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MICROSOFT</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SQL Server 2008 标准版</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SQL server 2008 标准版</w:t>
            </w:r>
          </w:p>
        </w:tc>
        <w:tc>
          <w:tcPr>
            <w:tcW w:w="514"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MICROSOFT</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w:t>
            </w:r>
          </w:p>
        </w:tc>
        <w:tc>
          <w:tcPr>
            <w:tcW w:w="8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视频监控系统</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视频管理服务器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VS-VM5500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4路网络视频解码器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VS-DC2004-FF</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35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单路高清视频解码器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VS-DC1801-FH+VS0M2HDMIE+VS0M140D</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08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视频管理服务软件-视频接入许可-500路授权费用-基于IMOS平台</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LIS-Video Manager 3.0-Cam-500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08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16</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视频管理服务软件-视频接入许可-100路授权费用-基于IMOS平台</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LIS-Video Manager 3.0-Cam-100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17</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视频管理服务软件-IPSAN接入许可-1台授权费用-基于IMOS平台</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5</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LIS-Video Manager 3.0-SAN-1</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18</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8路混合式网络硬盘录像机（含硬盘）</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架</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VS-ECR3308-HF</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19</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16路混合式网络硬盘录像机（含硬盘）</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架</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30</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VS-ECR3316-HF</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网络存储主机（含硬盘）</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5</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VS-ISC3000-E</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网络存储扩展磁盘柜（含硬盘）</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17</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VS-VX500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Neocean-网络存储700W电源模块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5</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NI0M1DPS700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08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视频管理服务软件(含监控应用管理模块和数据库管理模块,含单机安装许可+100路视频接入许可+各终端软件,基于IMOS平台)</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SWP-Video Manager 3.0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08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数据管理服务软件(含存储录像巡检模块和VOD视频点播服务模块,含单机接入安装许可,基于IMOS平台)</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SWP-Data Manager 3.0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08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网络存储主机,64位CPU,2GB内存,2个GE端口,单电源,含机架套件,含管理软件,支持16个SATA盘,支持0到3个DE1116（含硬盘）</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VS-ISC5000-E</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08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26</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网络存储扩展磁盘柜,可选配双电源,支持16个SATA或SAS硬盘,Mini SAS扩展端口,含机架套件（含硬盘）</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VS-VX500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27</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集中管理机箱</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ASV916-M</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澳视</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28</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光端机接收机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46</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ASV6200T/R-M</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澳视</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29</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自动报障管理软件</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定制</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澳视</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报障短信模块  MAS短信猫</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定制</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澳视</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24口千兆以太网交换机主机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LS-5120-24P-EI-D</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2端口万兆以太网接口板</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LSPM2SP2P</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光模块-SFP-GE-单模模块-(1310nm)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SFP-GE-LX-SM1310-D</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8口接入POE交换机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S3100V2-8TP-PWR-EI</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LS-7503E</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36</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48端口千兆/百兆以太网光接口模块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LSQ1GP48SC</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37</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40端口千兆电口(RJ45)+8端口千兆/百兆光口以太网接口模块(SFP,LC)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LSQ1GV48SC</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38</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核心交换机10交换路由处理引擎－自带两个万兆接口</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LSQM1SRP2XB0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39</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交换主控引擎子卡</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SRP2XBSLAVE</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万兆单模光模块(1310nm)</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SFP-XG-LX-SM1310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光模块-SFP-GE-单模模块-(1310nm)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48</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SFP-GE-LX-SM1310-D</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室外彩色日夜型智能球高清摄像机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23</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AS-D600IF/B27H1-M</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澳视</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室外红外固定高清摄像机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67</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SN-IRC5830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景阳</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高清半球IPC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151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IPC-HIC3401-V</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红外半球摄像机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440</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SN-IRC59/32FVP</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景阳</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46</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电梯专用半球摄像机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17</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SN-IRC59/32FVP</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景阳</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47</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15KVA UPS电源</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EA815</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易事特</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48</w:t>
            </w:r>
          </w:p>
        </w:tc>
        <w:tc>
          <w:tcPr>
            <w:tcW w:w="8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数据机房动力环境系统</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精密空调风冷下送风室内（外）机组</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ASD531A</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世图兹</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49</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三菱新风机，8－10个正压</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LGH-80RX4-C2</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三菱</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温湿度检测设备机房温度和湿度检测</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S/N201322088</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　</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灭火控制器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JB-QB-QMK/01</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云涛</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感温探测器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JTW-ZD-920K</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泛海三江</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感烟探测器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JTY-GD-930K</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泛海三江</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声光报警器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J-2005</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泛海三江</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手动控制盒</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J-SX-PM-2</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泛海三江</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56</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放气指示灯</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QF-1</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泛海三江</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57</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落地式七氟丙烷装置</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QRR10/ⅢSL</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威盾</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58</w:t>
            </w:r>
          </w:p>
        </w:tc>
        <w:tc>
          <w:tcPr>
            <w:tcW w:w="8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计算机网络系统</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网络设备管理平台服务器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X3650/X3850</w:t>
            </w:r>
          </w:p>
        </w:tc>
        <w:tc>
          <w:tcPr>
            <w:tcW w:w="514"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IBM</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59</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Win server 2008 64位中文企业版</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Win server 2008 64位</w:t>
            </w:r>
          </w:p>
        </w:tc>
        <w:tc>
          <w:tcPr>
            <w:tcW w:w="514"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MICROSOFT</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SQL Server 2008 标准版</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SQL Server 2008 标准版</w:t>
            </w:r>
          </w:p>
        </w:tc>
        <w:tc>
          <w:tcPr>
            <w:tcW w:w="514"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MICROSOFT</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LS-7608-X</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系列主控制引擎模块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LSQM1SUPA</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交流电源模块,2500W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LSUM1AC2500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功能模块-V交换网板-D类-国内海外合一版</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8</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LSQM1FAB08A</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16端口万兆以太网光接口模块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LSQM1TGS32SC</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66</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32端口万兆以太网光接口模块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LSQ1TGS32SC</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67</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40端口千兆电口(RJ45)+8端口千兆/百兆光口以太网接口模块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LSQM1GV40PSC0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68</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24端口千兆/百兆以太网光接口模块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LSQ1GP24TSC</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69</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防火墙业务板模块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LSQM1FWBSC</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 万兆模块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144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SFP-XG-LX-SM1310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光模块-SFP-GE-单模模块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28</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SFP-GE-LX-SM1310-D</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28C-EI-以太网交换机主机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20</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LS-5120-28C-EI-H3</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52C-EI-以太网交换机主机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LS-5120-52C-EI-H3</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2端口万兆以太网SFP+接口板</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LSPM2SP2P</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 万兆模块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184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SFP-XG-LX-SM1310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76</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光模块-SFP-GE-单模模块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240</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SFP-GE-LX-SM1310-D</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77</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48P-EI-以太网交换机主机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35</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LS-5120-52C-EI-H3</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78</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24P-EI-以太网交换机主机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17</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LS-5120-24P-EI-D</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79</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SFP堆叠电缆-（150cm，含堆叠模块）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20</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SFP-STACK-Kit SFP</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CX4 本地连接线缆</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LSPM2STKC</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08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以太网交换机主机,支持48个10/100/1000BASE-T端口,支持4个10G/1G BASE-X SFP+端口,支持1个接口模块扩展插槽,AC电源供电</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LS-5800-56C-H3</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智能管理平台标准版(不含节点)-纯软件(DVD)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SWP-IMC-IMPWN-CN</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智能管理平台标准版管理25节点License费用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LIS-IMC-IMPA-25</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智能管理平台标准版管理50节点License费用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LIS-IMC-IMPA-CN-50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无线业务管理组件-纯软件(CD)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SWP-IMC-WSM</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86</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无线业务管理组件管理200台Fit AP设备License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LIS-IMC-WSMD-200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87</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无线控制器业务板模块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LSQ1WCMD</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88</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无线控制器license费用-管理128AP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LIS-WX-128</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89</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 WA2620E-AGN 802.11n无线局域网增强型2.4&amp;5GHz双频双模接入点-FIT</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152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EWP-WA2620i-AGN-FIT</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28C-PWR-EI-以太网交换机主机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16</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LS-5120-28C-PWR-EI-H3</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LS-7606</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交流电源模块,1400W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LSQM1AC1400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Salience VI交换路由引擎</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LSQ1SRP1CB </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48端口千兆/百兆以太网光接口模块(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LSQM1GP48SC</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40端口千兆电口(RJ45)+8端口千兆/百兆光口以太网接口模块(SFP,LC)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LSQM1GV48SC</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96</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防火墙业务板模块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LSQM1FWBSC0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97</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千兆入侵防御系统模块,含一年特征库升级,一年病毒库升级</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LS-LSQM1IPSSC0+1Y</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98</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光模块-SFP-GE-单模模块-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SFP-GE-LX-SM1310-D</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99</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8端口万兆以太网光接口模块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LSQ1TGS8SC</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24P-EI-以太网交换机主机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LS-5120-24P-EI-D</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48P-EI-以太网交换机主机(48GE+4SFP Combo)</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16</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LS-5120-48P-EI-D</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光模块-SFP-GE-单模模块-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48</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SFP-GE-LX-SM1310-D</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智能管理平台标准版(不含节点)-纯软件(DVD)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SWP-IMC-IMPWN-CN</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智能管理平台标准版管理50节点License费用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LIS-IMC-IMPA-25</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主控模块,2GE (Combo), 4SIC, 256F/512D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RT-MPUF-H3</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106</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多业务模块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RT-MSCA-H3</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107</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路由器主机(AC)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RT-MSR5040-AC-H3</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08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108</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系列主机软件费用(标准版)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LIS-MSR50-STANDARD-H3</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109</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2端口10M/100M以太网电FIC接口模块(RJ45)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RT-FIC-2FE-V2-H3</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110</w:t>
            </w:r>
          </w:p>
        </w:tc>
        <w:tc>
          <w:tcPr>
            <w:tcW w:w="8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综合楼安防控制室</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网络存储主机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VS-ISC3000-E</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08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网络存储扩展磁盘柜,可选配双电源,支持16个SATA或SAS硬盘,Mini SAS扩展端口,含机架套件（含硬盘）</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VS-VX500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Neocean-网络存储700W电源模块（含硬盘）</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NI0M1DPS700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08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视频管理服务软件-100路授权费用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LIS-Video Manager 3.0-Cam-100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视频管理服务软件-IPSAN接入许可-1台授权费用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LIS-Video Manager 3.0-SAN-1</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单模光模块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SFP-GE-LX-SM1310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116</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22寸液晶显示屏</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48</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LG2247</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LG</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117</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42寸液晶显示屏</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42E300R</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创维</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118</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柜式空调</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KF-50GW/K(50356)B1-N1</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格力</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119</w:t>
            </w:r>
          </w:p>
        </w:tc>
        <w:tc>
          <w:tcPr>
            <w:tcW w:w="8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医护对讲系统</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电话型系统主机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20</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NC-2000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飞星</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时钟/床号电子显示屏</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NC-403</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飞星</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对讲分机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680</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NC-304A</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飞星</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紧急按钮</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234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NC-203C</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飞星</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单色门灯</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231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NC-601</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飞星</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壁挂式有线对讲套装</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16</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RL-209</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飞星</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彩色可视分机楼宇对讲门铃室内分机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AJB-FJ10BC4</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安居宝</w:t>
            </w:r>
          </w:p>
        </w:tc>
      </w:tr>
      <w:tr>
        <w:tblPrEx>
          <w:tblCellMar>
            <w:top w:w="0" w:type="dxa"/>
            <w:left w:w="108" w:type="dxa"/>
            <w:bottom w:w="0" w:type="dxa"/>
            <w:right w:w="108" w:type="dxa"/>
          </w:tblCellMar>
        </w:tblPrEx>
        <w:trPr>
          <w:gridAfter w:val="1"/>
          <w:wAfter w:w="4" w:type="pct"/>
          <w:trHeight w:val="285" w:hRule="atLeast"/>
        </w:trPr>
        <w:tc>
          <w:tcPr>
            <w:tcW w:w="4996"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二、行政楼部分</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126</w:t>
            </w:r>
          </w:p>
        </w:tc>
        <w:tc>
          <w:tcPr>
            <w:tcW w:w="8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计算机网络系统</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核心交换机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LS-7608-X</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127</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系列主控制引擎模块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LSQ1SUPA</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128</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交流电源模块,2500W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LSUM1AC2500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129</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16端口万兆以太网光接口模块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LSQM1TGS16SC0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24端口千兆/百兆以太网光接口模块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LSQ1GP24TSC</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万兆模块(1310nm,10km,LC)</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20</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SFP-XG-LX220-MM1310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千兆模块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SFP-XG-LX-SM1310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108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功能模块-H3C S10500-LSUM1FAB08D0-S10508 &amp; S10508-V交换网板-D类-国内海外合一版</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8</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LSQ1FAB08A</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24口接入交换机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LS-5120-28C-EI-H3</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48口接入交换机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13</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LS-5120-52C-EI-H3</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136</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2端口万兆以太网XFP光接口模块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LSPM2STKB</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137</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万兆模块(1310nm,10km,LC)</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SFP-XG-LX-SM1310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138</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外网</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361"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514"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139</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LS-7606</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交流电源模块,1400W</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LSQM1AC1400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Salience VI交换路由引擎</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LSQM1SRP1CB3</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48端口千兆/百兆以太网光接口模块(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LSQ1GP48SC</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40端口千兆电口(RJ45)+8端口千兆/百兆光口以太网接口模块(SFP,LC)  </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LSQM1GV48SC3</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防火墙业务板模块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LSQM1FWBSC0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千兆入侵防御系统模块,含一年特征库升级,一年病毒库升级</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LS-LSQM1IPSSC0+1Y</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146</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光模块-SFP-GE-单模模块-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SFP-GE-LX-SM1310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147</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8端口万兆以太网光接口模块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LSQ1TGS8SC</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148</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千兆接入24口交换机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5</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LS-5120-48P-EI-D</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149</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千兆模块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10</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SFP-GE-LX-SM1310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150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智能管理平台标准版(不含节点)-纯软件</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SWP-IMC-IMPWN-CN</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151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智能管理平台标准版管理50节点License费用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LIS-IMC-IMPB-50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152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无线控制器业务板模块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LSUM3WCMD0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153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无线控制器license费用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LIS-WX-128-B</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154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24口接入交换机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LS-5120-28C-PWR-EI-H3</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155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无线AP</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20</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EWP-WA2620i-AGN-FIT</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156</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千兆模块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SFP-GE-LX-SM1310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157</w:t>
            </w:r>
          </w:p>
        </w:tc>
        <w:tc>
          <w:tcPr>
            <w:tcW w:w="8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行政楼机房动力环境系统</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精密空调风冷下送风室内（外）机组</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ST017DAACAOBT</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科士达</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158</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UPS主机（含蓄电池）</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HI3303H</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科士达</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159</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UPS电源</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16个100AH蓄电池</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科士达</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160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总配电柜</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金升电器</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161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柜式七氟丙烷灭火装置GQQ90/2.5F</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套</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QRR10/ⅢSL</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威盾</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162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灭火控制器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JB-QB-QMK</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云涛</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163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感温探测器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JTW-ZD-920K</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泛海三江</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164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感烟探测器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JTY-GD-930K</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泛海三江</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165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声光报警器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J-2005</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泛海三江</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166</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手动控制盒</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J-SX-PM-2</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泛海三江</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167</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放气指示灯</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QF-1</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泛海三江</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168</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泄压口</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定制</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威盾</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169</w:t>
            </w:r>
          </w:p>
        </w:tc>
        <w:tc>
          <w:tcPr>
            <w:tcW w:w="8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视频监控系统</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高性能枪型摄像机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17</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25MM</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澳视</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170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红外半球摄像机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66</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SN-IRC59/32FVP</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景阳</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171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电梯专用半球摄像机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SN-IRC59/32FVP</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景阳</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172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15W电源适配器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87</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15w</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景阳</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173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8路视频编码器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架</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VS-ECR3308-HF</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174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16路视频编码器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架</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6</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VS-ECR3316-HF</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175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24口千兆以太网交换机主机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LS-2403TP-EA-H3</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176</w:t>
            </w:r>
          </w:p>
        </w:tc>
        <w:tc>
          <w:tcPr>
            <w:tcW w:w="8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国际会议室会议系统</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音响系统</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361"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514"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177</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左主音箱</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DM-252</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178</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主功率放大器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ME-1202</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179</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右主音箱</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DM-252</w:t>
            </w:r>
          </w:p>
        </w:tc>
        <w:tc>
          <w:tcPr>
            <w:tcW w:w="514"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180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返听音箱</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F-12</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181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返听功率放大器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ME602</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182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超低音音箱</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S18</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183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超低音功率放大器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ME752</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184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补声音箱</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DM-122</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185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补声功率放大器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PK640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186</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16路调音台</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MG166CX</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雅马哈</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187</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均衡器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231</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DOD</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188</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数字音频处理器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PV8</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189</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话筒处理器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SM2800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190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手持无线话筒</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8</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3300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声博</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191</w:t>
            </w:r>
          </w:p>
        </w:tc>
        <w:tc>
          <w:tcPr>
            <w:tcW w:w="8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学术交流中心会议系统</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显示切换系统</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361"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514"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192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无线控制电动投影幕</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幅</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120英寸</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红叶</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193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投影机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Pro8300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ViewSonic</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194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音响系统</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361"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514"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195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主音箱</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CONTROL1X</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JBL</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196</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主功率放大器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PK640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ZQZ</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197</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辅助声音箱</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CONTROL1X</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JBL</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198</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12路调音台</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124C</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雅马哈</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199</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话筒处理器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SM2800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200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数字音频处理器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xml:space="preserve"> PV8 </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ZOZ</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201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手持无线话筒</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3300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声博</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202</w:t>
            </w:r>
          </w:p>
        </w:tc>
        <w:tc>
          <w:tcPr>
            <w:tcW w:w="8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信息发布系统</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超窄边40寸高清液晶显示单元升级改造（包括钢结构制作、安装；装饰面制作、安装）</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46寸超窄边</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三星</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203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边缘融合控制主机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PM08-12</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TCL</w:t>
            </w:r>
          </w:p>
        </w:tc>
      </w:tr>
      <w:tr>
        <w:tblPrEx>
          <w:tblCellMar>
            <w:top w:w="0" w:type="dxa"/>
            <w:left w:w="108" w:type="dxa"/>
            <w:bottom w:w="0" w:type="dxa"/>
            <w:right w:w="108" w:type="dxa"/>
          </w:tblCellMar>
        </w:tblPrEx>
        <w:trPr>
          <w:gridAfter w:val="1"/>
          <w:wAfter w:w="4" w:type="pct"/>
          <w:trHeight w:val="285" w:hRule="atLeast"/>
        </w:trPr>
        <w:tc>
          <w:tcPr>
            <w:tcW w:w="345" w:type="pct"/>
            <w:vMerge w:val="restar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204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436" w:type="pct"/>
            <w:vMerge w:val="restart"/>
            <w:tcBorders>
              <w:top w:val="nil"/>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vMerge w:val="restar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8</w:t>
            </w:r>
          </w:p>
        </w:tc>
        <w:tc>
          <w:tcPr>
            <w:tcW w:w="1236" w:type="pct"/>
            <w:gridSpan w:val="2"/>
            <w:vMerge w:val="restart"/>
            <w:tcBorders>
              <w:top w:val="nil"/>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双基色</w:t>
            </w:r>
          </w:p>
        </w:tc>
        <w:tc>
          <w:tcPr>
            <w:tcW w:w="514" w:type="pct"/>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纯英</w:t>
            </w:r>
          </w:p>
        </w:tc>
      </w:tr>
      <w:tr>
        <w:tblPrEx>
          <w:tblCellMar>
            <w:top w:w="0" w:type="dxa"/>
            <w:left w:w="108" w:type="dxa"/>
            <w:bottom w:w="0" w:type="dxa"/>
            <w:right w:w="108" w:type="dxa"/>
          </w:tblCellMar>
        </w:tblPrEx>
        <w:trPr>
          <w:gridAfter w:val="1"/>
          <w:wAfter w:w="4" w:type="pct"/>
          <w:trHeight w:val="285" w:hRule="atLeast"/>
        </w:trPr>
        <w:tc>
          <w:tcPr>
            <w:tcW w:w="345"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LED信息显示屏</w:t>
            </w:r>
          </w:p>
        </w:tc>
        <w:tc>
          <w:tcPr>
            <w:tcW w:w="436"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361"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236" w:type="pct"/>
            <w:gridSpan w:val="2"/>
            <w:vMerge w:val="continue"/>
            <w:tcBorders>
              <w:top w:val="nil"/>
              <w:left w:val="single" w:color="auto" w:sz="4" w:space="0"/>
              <w:bottom w:val="single" w:color="auto" w:sz="4" w:space="0"/>
              <w:right w:val="single" w:color="auto" w:sz="4" w:space="0"/>
            </w:tcBorders>
            <w:vAlign w:val="center"/>
          </w:tcPr>
          <w:p>
            <w:pPr>
              <w:rPr>
                <w:sz w:val="21"/>
                <w:szCs w:val="21"/>
              </w:rPr>
            </w:pPr>
          </w:p>
        </w:tc>
        <w:tc>
          <w:tcPr>
            <w:tcW w:w="514" w:type="pct"/>
            <w:gridSpan w:val="2"/>
            <w:vMerge w:val="continue"/>
            <w:tcBorders>
              <w:top w:val="single" w:color="auto" w:sz="4" w:space="0"/>
              <w:left w:val="single" w:color="auto" w:sz="4" w:space="0"/>
              <w:bottom w:val="single" w:color="auto" w:sz="4" w:space="0"/>
              <w:right w:val="single" w:color="auto" w:sz="4" w:space="0"/>
            </w:tcBorders>
            <w:vAlign w:val="center"/>
          </w:tcPr>
          <w:p>
            <w:pPr>
              <w:rPr>
                <w:sz w:val="21"/>
                <w:szCs w:val="21"/>
              </w:rPr>
            </w:pP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205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病区信息发布屏</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一体机</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冠众</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206</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门诊叫号屏</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项</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47</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一体机</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冠众</w:t>
            </w:r>
          </w:p>
        </w:tc>
      </w:tr>
      <w:tr>
        <w:tblPrEx>
          <w:tblCellMar>
            <w:top w:w="0" w:type="dxa"/>
            <w:left w:w="108" w:type="dxa"/>
            <w:bottom w:w="0" w:type="dxa"/>
            <w:right w:w="108" w:type="dxa"/>
          </w:tblCellMar>
        </w:tblPrEx>
        <w:trPr>
          <w:gridAfter w:val="1"/>
          <w:wAfter w:w="4" w:type="pct"/>
          <w:trHeight w:val="953"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207</w:t>
            </w:r>
          </w:p>
        </w:tc>
        <w:tc>
          <w:tcPr>
            <w:tcW w:w="8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方舱区域弱电系统维护</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普通半球</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DS-2CD3347WDV3-L（室内）400万全彩POE</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w:t>
            </w:r>
          </w:p>
        </w:tc>
      </w:tr>
      <w:tr>
        <w:tblPrEx>
          <w:tblCellMar>
            <w:top w:w="0" w:type="dxa"/>
            <w:left w:w="108" w:type="dxa"/>
            <w:bottom w:w="0" w:type="dxa"/>
            <w:right w:w="108" w:type="dxa"/>
          </w:tblCellMar>
        </w:tblPrEx>
        <w:trPr>
          <w:gridAfter w:val="1"/>
          <w:wAfter w:w="4" w:type="pct"/>
          <w:trHeight w:val="8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208</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普通枪机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DS-2CD3T47EWDV3-L（室外）400万全彩POE</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w:t>
            </w:r>
          </w:p>
        </w:tc>
      </w:tr>
      <w:tr>
        <w:tblPrEx>
          <w:tblCellMar>
            <w:top w:w="0" w:type="dxa"/>
            <w:left w:w="108" w:type="dxa"/>
            <w:bottom w:w="0" w:type="dxa"/>
            <w:right w:w="108" w:type="dxa"/>
          </w:tblCellMar>
        </w:tblPrEx>
        <w:trPr>
          <w:gridAfter w:val="1"/>
          <w:wAfter w:w="4" w:type="pct"/>
          <w:trHeight w:val="981"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209</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广角半球</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91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DS-2CD3345P1-I（室内）18度广角400万全彩POE</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w:t>
            </w:r>
          </w:p>
        </w:tc>
      </w:tr>
      <w:tr>
        <w:tblPrEx>
          <w:tblCellMar>
            <w:top w:w="0" w:type="dxa"/>
            <w:left w:w="108" w:type="dxa"/>
            <w:bottom w:w="0" w:type="dxa"/>
            <w:right w:w="108" w:type="dxa"/>
          </w:tblCellMar>
        </w:tblPrEx>
        <w:trPr>
          <w:gridAfter w:val="1"/>
          <w:wAfter w:w="4" w:type="pct"/>
          <w:trHeight w:val="1123"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210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NVR</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DS-96256N-I24/H,256路通道24盘位录像机</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w:t>
            </w:r>
          </w:p>
        </w:tc>
      </w:tr>
      <w:tr>
        <w:tblPrEx>
          <w:tblCellMar>
            <w:top w:w="0" w:type="dxa"/>
            <w:left w:w="108" w:type="dxa"/>
            <w:bottom w:w="0" w:type="dxa"/>
            <w:right w:w="108" w:type="dxa"/>
          </w:tblCellMar>
        </w:tblPrEx>
        <w:trPr>
          <w:gridAfter w:val="1"/>
          <w:wAfter w:w="4" w:type="pct"/>
          <w:trHeight w:val="1111"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211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硬盘</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48</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186路30天需要250TB容量每台录像机需选用10T 监控盘24个</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WD</w:t>
            </w:r>
          </w:p>
        </w:tc>
      </w:tr>
      <w:tr>
        <w:tblPrEx>
          <w:tblCellMar>
            <w:top w:w="0" w:type="dxa"/>
            <w:left w:w="108" w:type="dxa"/>
            <w:bottom w:w="0" w:type="dxa"/>
            <w:right w:w="108" w:type="dxa"/>
          </w:tblCellMar>
        </w:tblPrEx>
        <w:trPr>
          <w:gridAfter w:val="1"/>
          <w:wAfter w:w="4" w:type="pct"/>
          <w:trHeight w:val="79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212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7</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DS-3E0318P 16口POE,带SFP</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w:t>
            </w:r>
          </w:p>
        </w:tc>
      </w:tr>
      <w:tr>
        <w:tblPrEx>
          <w:tblCellMar>
            <w:top w:w="0" w:type="dxa"/>
            <w:left w:w="108" w:type="dxa"/>
            <w:bottom w:w="0" w:type="dxa"/>
            <w:right w:w="108" w:type="dxa"/>
          </w:tblCellMar>
        </w:tblPrEx>
        <w:trPr>
          <w:gridAfter w:val="1"/>
          <w:wAfter w:w="4" w:type="pct"/>
          <w:trHeight w:val="844"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213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DS-3E0326P 24口POE,带SFP</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w:t>
            </w:r>
          </w:p>
        </w:tc>
      </w:tr>
      <w:tr>
        <w:tblPrEx>
          <w:tblCellMar>
            <w:top w:w="0" w:type="dxa"/>
            <w:left w:w="108" w:type="dxa"/>
            <w:bottom w:w="0" w:type="dxa"/>
            <w:right w:w="108" w:type="dxa"/>
          </w:tblCellMar>
        </w:tblPrEx>
        <w:trPr>
          <w:gridAfter w:val="1"/>
          <w:wAfter w:w="4" w:type="pct"/>
          <w:trHeight w:val="983"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214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核心交换机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华三S5500X-30C 24口电口12光口</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华三</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215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光模块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对</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13</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1.25G单芯单模</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国产</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216</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显示器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27寸4K，带HDMI</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AOC/其它</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217</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0</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SG2008 8口千兆 带1个光口</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tplink</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218</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机柜</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9U挂壁</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定制</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219</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防水箱</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4</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室外防水</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定制</w:t>
            </w:r>
          </w:p>
        </w:tc>
      </w:tr>
      <w:tr>
        <w:tblPrEx>
          <w:tblCellMar>
            <w:top w:w="0" w:type="dxa"/>
            <w:left w:w="108" w:type="dxa"/>
            <w:bottom w:w="0" w:type="dxa"/>
            <w:right w:w="108" w:type="dxa"/>
          </w:tblCellMar>
        </w:tblPrEx>
        <w:trPr>
          <w:gridAfter w:val="1"/>
          <w:wAfter w:w="4" w:type="pct"/>
          <w:trHeight w:val="81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220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网线</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箱</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68</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国标超5类线纯铜网线</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安润达</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221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光缆</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米</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900</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24芯单模铠装光缆</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其它</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222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电缆</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米</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700</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RVV 2*1.5</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国产</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223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PVC</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米</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1800</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6分线管</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联塑</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224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电话型系统主机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TC-2000A</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飞星</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225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入住人员一览表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TC-560</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飞星</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226</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系统数据处理器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TC-303A</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飞星</w:t>
            </w:r>
          </w:p>
        </w:tc>
      </w:tr>
      <w:tr>
        <w:tblPrEx>
          <w:tblCellMar>
            <w:top w:w="0" w:type="dxa"/>
            <w:left w:w="108" w:type="dxa"/>
            <w:bottom w:w="0" w:type="dxa"/>
            <w:right w:w="108" w:type="dxa"/>
          </w:tblCellMar>
        </w:tblPrEx>
        <w:trPr>
          <w:gridAfter w:val="1"/>
          <w:wAfter w:w="4" w:type="pct"/>
          <w:trHeight w:val="847"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227</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SMB-S5048PV3-EI 48口千兆</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H3C</w:t>
            </w:r>
          </w:p>
        </w:tc>
      </w:tr>
      <w:tr>
        <w:tblPrEx>
          <w:tblCellMar>
            <w:top w:w="0" w:type="dxa"/>
            <w:left w:w="108" w:type="dxa"/>
            <w:bottom w:w="0" w:type="dxa"/>
            <w:right w:w="108" w:type="dxa"/>
          </w:tblCellMar>
        </w:tblPrEx>
        <w:trPr>
          <w:gridAfter w:val="1"/>
          <w:wAfter w:w="4" w:type="pct"/>
          <w:trHeight w:val="53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228</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网络模块</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166</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超五类网络模块免打</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国产</w:t>
            </w:r>
          </w:p>
        </w:tc>
      </w:tr>
      <w:tr>
        <w:tblPrEx>
          <w:tblCellMar>
            <w:top w:w="0" w:type="dxa"/>
            <w:left w:w="108" w:type="dxa"/>
            <w:bottom w:w="0" w:type="dxa"/>
            <w:right w:w="108" w:type="dxa"/>
          </w:tblCellMar>
        </w:tblPrEx>
        <w:trPr>
          <w:gridAfter w:val="1"/>
          <w:wAfter w:w="4" w:type="pct"/>
          <w:trHeight w:val="854"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229</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大屏</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DS-5055UQ 55寸显示器，4K</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w:t>
            </w:r>
          </w:p>
        </w:tc>
      </w:tr>
      <w:tr>
        <w:tblPrEx>
          <w:tblCellMar>
            <w:top w:w="0" w:type="dxa"/>
            <w:left w:w="108" w:type="dxa"/>
            <w:bottom w:w="0" w:type="dxa"/>
            <w:right w:w="108" w:type="dxa"/>
          </w:tblCellMar>
        </w:tblPrEx>
        <w:trPr>
          <w:gridAfter w:val="1"/>
          <w:wAfter w:w="4" w:type="pct"/>
          <w:trHeight w:val="851"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230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小屏</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DS-5043UQ 43寸显示器，4K</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w:t>
            </w:r>
          </w:p>
        </w:tc>
      </w:tr>
      <w:tr>
        <w:tblPrEx>
          <w:tblCellMar>
            <w:top w:w="0" w:type="dxa"/>
            <w:left w:w="108" w:type="dxa"/>
            <w:bottom w:w="0" w:type="dxa"/>
            <w:right w:w="108" w:type="dxa"/>
          </w:tblCellMar>
        </w:tblPrEx>
        <w:trPr>
          <w:gridAfter w:val="1"/>
          <w:wAfter w:w="4" w:type="pct"/>
          <w:trHeight w:val="822"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231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电脑</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5</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M710Q迷你主机I5+8G+256GM2</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联想</w:t>
            </w:r>
          </w:p>
        </w:tc>
      </w:tr>
      <w:tr>
        <w:tblPrEx>
          <w:tblCellMar>
            <w:top w:w="0" w:type="dxa"/>
            <w:left w:w="108" w:type="dxa"/>
            <w:bottom w:w="0" w:type="dxa"/>
            <w:right w:w="108" w:type="dxa"/>
          </w:tblCellMar>
        </w:tblPrEx>
        <w:trPr>
          <w:gridAfter w:val="1"/>
          <w:wAfter w:w="4" w:type="pct"/>
          <w:trHeight w:val="1131"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232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测温门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ISD-SMG518LT-N,前后7寸LCD屏，测温精度+-0.5度</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w:t>
            </w:r>
          </w:p>
        </w:tc>
      </w:tr>
      <w:tr>
        <w:tblPrEx>
          <w:tblCellMar>
            <w:top w:w="0" w:type="dxa"/>
            <w:left w:w="108" w:type="dxa"/>
            <w:bottom w:w="0" w:type="dxa"/>
            <w:right w:w="108" w:type="dxa"/>
          </w:tblCellMar>
        </w:tblPrEx>
        <w:trPr>
          <w:gridAfter w:val="1"/>
          <w:wAfter w:w="4" w:type="pct"/>
          <w:trHeight w:val="991"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233</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黑体</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DS-2TE127-H4A(B)，辅助测温门以实现精度达+-0.1度</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234</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8千兆网管交换机</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锐捷</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235</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光纤收发器</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6</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千兆单模单纤</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锐捷</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236</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电话光端机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2电话1网络</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国产</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237</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喇叭</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室外喇叭60W</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国产</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238</w:t>
            </w:r>
          </w:p>
        </w:tc>
        <w:tc>
          <w:tcPr>
            <w:tcW w:w="8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sz w:val="21"/>
                <w:szCs w:val="21"/>
              </w:rPr>
            </w:pPr>
            <w:r>
              <w:rPr>
                <w:rFonts w:hint="eastAsia"/>
                <w:sz w:val="21"/>
                <w:szCs w:val="21"/>
              </w:rPr>
              <w:t>核酸门诊弱电系统维护</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摄像机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18</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海康威视</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239</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网络点</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20</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　</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240</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电话点</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个</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10</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　</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241</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硬盘录像机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海康威视</w:t>
            </w:r>
          </w:p>
        </w:tc>
      </w:tr>
      <w:tr>
        <w:tblPrEx>
          <w:tblCellMar>
            <w:top w:w="0" w:type="dxa"/>
            <w:left w:w="108" w:type="dxa"/>
            <w:bottom w:w="0" w:type="dxa"/>
            <w:right w:w="108" w:type="dxa"/>
          </w:tblCellMar>
        </w:tblPrEx>
        <w:trPr>
          <w:gridAfter w:val="1"/>
          <w:wAfter w:w="4" w:type="pct"/>
          <w:trHeight w:val="54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242</w:t>
            </w:r>
          </w:p>
        </w:tc>
        <w:tc>
          <w:tcPr>
            <w:tcW w:w="800" w:type="pct"/>
            <w:vMerge w:val="continue"/>
            <w:tcBorders>
              <w:top w:val="nil"/>
              <w:left w:val="single" w:color="auto" w:sz="4" w:space="0"/>
              <w:bottom w:val="single" w:color="auto" w:sz="4" w:space="0"/>
              <w:right w:val="single" w:color="auto" w:sz="4" w:space="0"/>
            </w:tcBorders>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交换机</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台</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3</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NBS3100-24GT4SFP</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 xml:space="preserve">锐捷 </w:t>
            </w:r>
          </w:p>
        </w:tc>
      </w:tr>
      <w:tr>
        <w:tblPrEx>
          <w:tblCellMar>
            <w:top w:w="0" w:type="dxa"/>
            <w:left w:w="108" w:type="dxa"/>
            <w:bottom w:w="0" w:type="dxa"/>
            <w:right w:w="108" w:type="dxa"/>
          </w:tblCellMar>
        </w:tblPrEx>
        <w:trPr>
          <w:gridAfter w:val="1"/>
          <w:wAfter w:w="4" w:type="pct"/>
          <w:trHeight w:val="285"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243</w:t>
            </w:r>
          </w:p>
        </w:tc>
        <w:tc>
          <w:tcPr>
            <w:tcW w:w="800"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专诊楼弱电系统维护</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监控、网络、电话、医护对讲</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项</w:t>
            </w:r>
          </w:p>
        </w:tc>
        <w:tc>
          <w:tcPr>
            <w:tcW w:w="361"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236" w:type="pct"/>
            <w:gridSpan w:val="2"/>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　监控、网络、电话、医护对讲的整体维护</w:t>
            </w:r>
          </w:p>
        </w:tc>
        <w:tc>
          <w:tcPr>
            <w:tcW w:w="514"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　</w:t>
            </w:r>
          </w:p>
        </w:tc>
      </w:tr>
      <w:tr>
        <w:tblPrEx>
          <w:tblCellMar>
            <w:top w:w="0" w:type="dxa"/>
            <w:left w:w="108" w:type="dxa"/>
            <w:bottom w:w="0" w:type="dxa"/>
            <w:right w:w="108" w:type="dxa"/>
          </w:tblCellMar>
        </w:tblPrEx>
        <w:trPr>
          <w:gridAfter w:val="1"/>
          <w:wAfter w:w="4" w:type="pct"/>
          <w:trHeight w:val="416" w:hRule="atLeast"/>
        </w:trPr>
        <w:tc>
          <w:tcPr>
            <w:tcW w:w="4996"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三、驻场人员要求</w:t>
            </w:r>
          </w:p>
        </w:tc>
      </w:tr>
      <w:tr>
        <w:tblPrEx>
          <w:tblCellMar>
            <w:top w:w="0" w:type="dxa"/>
            <w:left w:w="108" w:type="dxa"/>
            <w:bottom w:w="0" w:type="dxa"/>
            <w:right w:w="108" w:type="dxa"/>
          </w:tblCellMar>
        </w:tblPrEx>
        <w:trPr>
          <w:trHeight w:val="3150"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800"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驻场人员要求</w:t>
            </w:r>
          </w:p>
        </w:tc>
        <w:tc>
          <w:tcPr>
            <w:tcW w:w="1303" w:type="pct"/>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专业工程师</w:t>
            </w:r>
          </w:p>
        </w:tc>
        <w:tc>
          <w:tcPr>
            <w:tcW w:w="436" w:type="pct"/>
            <w:tcBorders>
              <w:top w:val="nil"/>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个</w:t>
            </w:r>
          </w:p>
        </w:tc>
        <w:tc>
          <w:tcPr>
            <w:tcW w:w="403"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1712" w:type="pct"/>
            <w:gridSpan w:val="4"/>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7*24小时维保服务；驻场维修人员正常工作日，接到采购人的报障信息后，现场响应时间不超过30分钟，非工作日期间响应时间不超过1小时，达到现场时间不超过2小时；常规故障问题须在8小时内解决，应急情况下或核心故障问题须在2小时内解决，并按医院主管部门要求恢复系统运行。</w:t>
            </w:r>
          </w:p>
        </w:tc>
      </w:tr>
      <w:tr>
        <w:tblPrEx>
          <w:tblCellMar>
            <w:top w:w="0" w:type="dxa"/>
            <w:left w:w="108" w:type="dxa"/>
            <w:bottom w:w="0" w:type="dxa"/>
            <w:right w:w="108" w:type="dxa"/>
          </w:tblCellMar>
        </w:tblPrEx>
        <w:trPr>
          <w:gridAfter w:val="1"/>
          <w:wAfter w:w="4" w:type="pct"/>
          <w:trHeight w:val="285" w:hRule="atLeast"/>
        </w:trPr>
        <w:tc>
          <w:tcPr>
            <w:tcW w:w="4996" w:type="pct"/>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四、部分系统升级改造需求</w:t>
            </w:r>
          </w:p>
        </w:tc>
      </w:tr>
      <w:tr>
        <w:tblPrEx>
          <w:tblCellMar>
            <w:top w:w="0" w:type="dxa"/>
            <w:left w:w="108" w:type="dxa"/>
            <w:bottom w:w="0" w:type="dxa"/>
            <w:right w:w="108" w:type="dxa"/>
          </w:tblCellMar>
        </w:tblPrEx>
        <w:trPr>
          <w:gridAfter w:val="2"/>
          <w:wAfter w:w="12" w:type="pct"/>
          <w:trHeight w:val="1724" w:hRule="atLeast"/>
        </w:trPr>
        <w:tc>
          <w:tcPr>
            <w:tcW w:w="345" w:type="pct"/>
            <w:tcBorders>
              <w:top w:val="nil"/>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800" w:type="pct"/>
            <w:vMerge w:val="restart"/>
            <w:tcBorders>
              <w:top w:val="nil"/>
              <w:left w:val="nil"/>
              <w:right w:val="single" w:color="auto" w:sz="4" w:space="0"/>
            </w:tcBorders>
            <w:shd w:val="clear" w:color="auto" w:fill="auto"/>
            <w:vAlign w:val="center"/>
          </w:tcPr>
          <w:p>
            <w:pPr>
              <w:rPr>
                <w:sz w:val="21"/>
                <w:szCs w:val="21"/>
              </w:rPr>
            </w:pPr>
            <w:r>
              <w:rPr>
                <w:rFonts w:hint="eastAsia"/>
                <w:sz w:val="21"/>
                <w:szCs w:val="21"/>
              </w:rPr>
              <w:t>部分系统升级改造需求</w:t>
            </w: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行政楼无线WIFI升级</w:t>
            </w:r>
          </w:p>
        </w:tc>
        <w:tc>
          <w:tcPr>
            <w:tcW w:w="436" w:type="pct"/>
            <w:tcBorders>
              <w:top w:val="nil"/>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项</w:t>
            </w:r>
          </w:p>
        </w:tc>
        <w:tc>
          <w:tcPr>
            <w:tcW w:w="403" w:type="pct"/>
            <w:gridSpan w:val="2"/>
            <w:tcBorders>
              <w:top w:val="single" w:color="auto" w:sz="4" w:space="0"/>
              <w:left w:val="nil"/>
              <w:bottom w:val="single" w:color="auto" w:sz="4" w:space="0"/>
              <w:right w:val="single" w:color="auto" w:sz="4" w:space="0"/>
            </w:tcBorders>
            <w:shd w:val="clear" w:color="auto" w:fill="auto"/>
            <w:noWrap/>
            <w:vAlign w:val="center"/>
          </w:tcPr>
          <w:p>
            <w:pPr>
              <w:rPr>
                <w:sz w:val="21"/>
                <w:szCs w:val="21"/>
              </w:rPr>
            </w:pPr>
            <w:r>
              <w:rPr>
                <w:rFonts w:hint="eastAsia"/>
                <w:sz w:val="21"/>
                <w:szCs w:val="21"/>
              </w:rPr>
              <w:t>1</w:t>
            </w:r>
          </w:p>
        </w:tc>
        <w:tc>
          <w:tcPr>
            <w:tcW w:w="1700" w:type="pct"/>
            <w:gridSpan w:val="2"/>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升级改造行政楼无线系统，实现提升行政楼的无线信号强度及稳定性目标。</w:t>
            </w:r>
          </w:p>
        </w:tc>
      </w:tr>
      <w:tr>
        <w:tblPrEx>
          <w:tblCellMar>
            <w:top w:w="0" w:type="dxa"/>
            <w:left w:w="108" w:type="dxa"/>
            <w:bottom w:w="0" w:type="dxa"/>
            <w:right w:w="108" w:type="dxa"/>
          </w:tblCellMar>
        </w:tblPrEx>
        <w:trPr>
          <w:gridAfter w:val="2"/>
          <w:wAfter w:w="12" w:type="pct"/>
          <w:trHeight w:val="420" w:hRule="atLeast"/>
        </w:trPr>
        <w:tc>
          <w:tcPr>
            <w:tcW w:w="345"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21"/>
                <w:szCs w:val="21"/>
              </w:rPr>
            </w:pPr>
            <w:r>
              <w:rPr>
                <w:rFonts w:hint="eastAsia"/>
                <w:sz w:val="21"/>
                <w:szCs w:val="21"/>
              </w:rPr>
              <w:t>2</w:t>
            </w:r>
          </w:p>
        </w:tc>
        <w:tc>
          <w:tcPr>
            <w:tcW w:w="800" w:type="pct"/>
            <w:vMerge w:val="continue"/>
            <w:tcBorders>
              <w:left w:val="nil"/>
              <w:right w:val="single" w:color="auto" w:sz="4" w:space="0"/>
            </w:tcBorders>
            <w:shd w:val="clear" w:color="auto" w:fill="auto"/>
            <w:vAlign w:val="center"/>
          </w:tcPr>
          <w:p>
            <w:pPr>
              <w:rPr>
                <w:sz w:val="21"/>
                <w:szCs w:val="21"/>
              </w:rPr>
            </w:pPr>
          </w:p>
        </w:tc>
        <w:tc>
          <w:tcPr>
            <w:tcW w:w="1303" w:type="pct"/>
            <w:tcBorders>
              <w:top w:val="single" w:color="auto" w:sz="4" w:space="0"/>
              <w:left w:val="nil"/>
              <w:bottom w:val="single" w:color="auto" w:sz="4" w:space="0"/>
              <w:right w:val="single" w:color="auto" w:sz="4" w:space="0"/>
            </w:tcBorders>
            <w:shd w:val="clear" w:color="auto" w:fill="auto"/>
            <w:vAlign w:val="center"/>
          </w:tcPr>
          <w:p>
            <w:pPr>
              <w:rPr>
                <w:sz w:val="21"/>
                <w:szCs w:val="21"/>
              </w:rPr>
            </w:pPr>
            <w:r>
              <w:rPr>
                <w:rFonts w:hint="eastAsia"/>
                <w:sz w:val="21"/>
                <w:szCs w:val="21"/>
              </w:rPr>
              <w:t>门诊叫号屏、病区信息发布屏</w:t>
            </w:r>
          </w:p>
        </w:tc>
        <w:tc>
          <w:tcPr>
            <w:tcW w:w="436" w:type="pct"/>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个</w:t>
            </w:r>
          </w:p>
        </w:tc>
        <w:tc>
          <w:tcPr>
            <w:tcW w:w="403"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sz w:val="21"/>
                <w:szCs w:val="21"/>
              </w:rPr>
            </w:pPr>
            <w:r>
              <w:rPr>
                <w:rFonts w:hint="eastAsia"/>
                <w:sz w:val="21"/>
                <w:szCs w:val="21"/>
              </w:rPr>
              <w:t>33</w:t>
            </w:r>
          </w:p>
        </w:tc>
        <w:tc>
          <w:tcPr>
            <w:tcW w:w="1700"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sz w:val="21"/>
                <w:szCs w:val="21"/>
              </w:rPr>
            </w:pPr>
            <w:r>
              <w:rPr>
                <w:rFonts w:hint="eastAsia"/>
                <w:sz w:val="21"/>
                <w:szCs w:val="21"/>
              </w:rPr>
              <w:t>门诊候诊区及各病区的55寸信息发布屏进行升级更换。</w:t>
            </w:r>
          </w:p>
        </w:tc>
      </w:tr>
      <w:tr>
        <w:tblPrEx>
          <w:tblCellMar>
            <w:top w:w="0" w:type="dxa"/>
            <w:left w:w="108" w:type="dxa"/>
            <w:bottom w:w="0" w:type="dxa"/>
            <w:right w:w="108" w:type="dxa"/>
          </w:tblCellMar>
        </w:tblPrEx>
        <w:trPr>
          <w:gridAfter w:val="2"/>
          <w:wAfter w:w="12" w:type="pct"/>
          <w:trHeight w:val="372" w:hRule="atLeast"/>
        </w:trPr>
        <w:tc>
          <w:tcPr>
            <w:tcW w:w="345" w:type="pct"/>
            <w:vMerge w:val="restart"/>
            <w:tcBorders>
              <w:top w:val="single" w:color="auto" w:sz="4" w:space="0"/>
              <w:left w:val="single" w:color="auto" w:sz="4" w:space="0"/>
              <w:right w:val="single" w:color="auto" w:sz="4" w:space="0"/>
            </w:tcBorders>
            <w:shd w:val="clear" w:color="auto" w:fill="auto"/>
            <w:noWrap/>
            <w:vAlign w:val="center"/>
          </w:tcPr>
          <w:p>
            <w:pPr>
              <w:rPr>
                <w:sz w:val="21"/>
                <w:szCs w:val="21"/>
              </w:rPr>
            </w:pPr>
            <w:r>
              <w:rPr>
                <w:rFonts w:hint="eastAsia"/>
                <w:sz w:val="21"/>
                <w:szCs w:val="21"/>
              </w:rPr>
              <w:t>3</w:t>
            </w:r>
          </w:p>
        </w:tc>
        <w:tc>
          <w:tcPr>
            <w:tcW w:w="800" w:type="pct"/>
            <w:vMerge w:val="continue"/>
            <w:tcBorders>
              <w:left w:val="nil"/>
              <w:right w:val="single" w:color="auto" w:sz="4" w:space="0"/>
            </w:tcBorders>
            <w:shd w:val="clear" w:color="auto" w:fill="auto"/>
            <w:vAlign w:val="center"/>
          </w:tcPr>
          <w:p>
            <w:pPr>
              <w:rPr>
                <w:sz w:val="21"/>
                <w:szCs w:val="21"/>
              </w:rPr>
            </w:pPr>
          </w:p>
        </w:tc>
        <w:tc>
          <w:tcPr>
            <w:tcW w:w="1303" w:type="pct"/>
            <w:vMerge w:val="restart"/>
            <w:tcBorders>
              <w:top w:val="single" w:color="auto" w:sz="4" w:space="0"/>
              <w:left w:val="nil"/>
              <w:right w:val="single" w:color="auto" w:sz="4" w:space="0"/>
            </w:tcBorders>
            <w:shd w:val="clear" w:color="auto" w:fill="auto"/>
            <w:vAlign w:val="center"/>
          </w:tcPr>
          <w:p>
            <w:pPr>
              <w:rPr>
                <w:sz w:val="21"/>
                <w:szCs w:val="21"/>
              </w:rPr>
            </w:pPr>
            <w:r>
              <w:rPr>
                <w:rFonts w:hint="eastAsia"/>
                <w:sz w:val="21"/>
                <w:szCs w:val="21"/>
              </w:rPr>
              <w:t>门禁系统设备更新</w:t>
            </w:r>
          </w:p>
        </w:tc>
        <w:tc>
          <w:tcPr>
            <w:tcW w:w="436" w:type="pct"/>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个</w:t>
            </w:r>
          </w:p>
        </w:tc>
        <w:tc>
          <w:tcPr>
            <w:tcW w:w="403"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sz w:val="21"/>
                <w:szCs w:val="21"/>
              </w:rPr>
            </w:pPr>
            <w:r>
              <w:rPr>
                <w:rFonts w:hint="eastAsia"/>
                <w:sz w:val="21"/>
                <w:szCs w:val="21"/>
              </w:rPr>
              <w:t>10</w:t>
            </w:r>
          </w:p>
        </w:tc>
        <w:tc>
          <w:tcPr>
            <w:tcW w:w="1700" w:type="pct"/>
            <w:gridSpan w:val="2"/>
            <w:tcBorders>
              <w:top w:val="single" w:color="auto" w:sz="4" w:space="0"/>
              <w:left w:val="nil"/>
              <w:bottom w:val="single" w:color="auto" w:sz="4" w:space="0"/>
              <w:right w:val="single" w:color="auto" w:sz="4" w:space="0"/>
            </w:tcBorders>
            <w:shd w:val="clear" w:color="auto" w:fill="auto"/>
            <w:vAlign w:val="center"/>
          </w:tcPr>
          <w:p>
            <w:pPr>
              <w:widowControl/>
              <w:rPr>
                <w:sz w:val="21"/>
                <w:szCs w:val="21"/>
              </w:rPr>
            </w:pPr>
            <w:r>
              <w:rPr>
                <w:rFonts w:hint="eastAsia"/>
                <w:sz w:val="21"/>
                <w:szCs w:val="21"/>
              </w:rPr>
              <w:t>全新门禁控制器</w:t>
            </w:r>
          </w:p>
        </w:tc>
      </w:tr>
      <w:tr>
        <w:tblPrEx>
          <w:tblCellMar>
            <w:top w:w="0" w:type="dxa"/>
            <w:left w:w="108" w:type="dxa"/>
            <w:bottom w:w="0" w:type="dxa"/>
            <w:right w:w="108" w:type="dxa"/>
          </w:tblCellMar>
        </w:tblPrEx>
        <w:trPr>
          <w:gridAfter w:val="2"/>
          <w:wAfter w:w="12" w:type="pct"/>
          <w:trHeight w:val="210" w:hRule="atLeast"/>
        </w:trPr>
        <w:tc>
          <w:tcPr>
            <w:tcW w:w="345" w:type="pct"/>
            <w:vMerge w:val="continue"/>
            <w:tcBorders>
              <w:left w:val="single" w:color="auto" w:sz="4" w:space="0"/>
              <w:right w:val="single" w:color="auto" w:sz="4" w:space="0"/>
            </w:tcBorders>
            <w:shd w:val="clear" w:color="auto" w:fill="auto"/>
            <w:noWrap/>
            <w:vAlign w:val="center"/>
          </w:tcPr>
          <w:p>
            <w:pPr>
              <w:rPr>
                <w:sz w:val="21"/>
                <w:szCs w:val="21"/>
              </w:rPr>
            </w:pPr>
          </w:p>
        </w:tc>
        <w:tc>
          <w:tcPr>
            <w:tcW w:w="800" w:type="pct"/>
            <w:vMerge w:val="continue"/>
            <w:tcBorders>
              <w:left w:val="nil"/>
              <w:right w:val="single" w:color="auto" w:sz="4" w:space="0"/>
            </w:tcBorders>
            <w:shd w:val="clear" w:color="auto" w:fill="auto"/>
            <w:vAlign w:val="center"/>
          </w:tcPr>
          <w:p>
            <w:pPr>
              <w:rPr>
                <w:sz w:val="21"/>
                <w:szCs w:val="21"/>
              </w:rPr>
            </w:pPr>
          </w:p>
        </w:tc>
        <w:tc>
          <w:tcPr>
            <w:tcW w:w="1303" w:type="pct"/>
            <w:vMerge w:val="continue"/>
            <w:tcBorders>
              <w:left w:val="nil"/>
              <w:right w:val="single" w:color="auto" w:sz="4" w:space="0"/>
            </w:tcBorders>
            <w:shd w:val="clear" w:color="auto" w:fill="auto"/>
            <w:vAlign w:val="center"/>
          </w:tcPr>
          <w:p>
            <w:pPr>
              <w:rPr>
                <w:sz w:val="21"/>
                <w:szCs w:val="21"/>
              </w:rPr>
            </w:pPr>
          </w:p>
        </w:tc>
        <w:tc>
          <w:tcPr>
            <w:tcW w:w="436" w:type="pct"/>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个</w:t>
            </w:r>
          </w:p>
        </w:tc>
        <w:tc>
          <w:tcPr>
            <w:tcW w:w="403"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sz w:val="21"/>
                <w:szCs w:val="21"/>
              </w:rPr>
            </w:pPr>
            <w:r>
              <w:rPr>
                <w:rFonts w:hint="eastAsia"/>
                <w:sz w:val="21"/>
                <w:szCs w:val="21"/>
              </w:rPr>
              <w:t>10</w:t>
            </w:r>
          </w:p>
        </w:tc>
        <w:tc>
          <w:tcPr>
            <w:tcW w:w="1700" w:type="pct"/>
            <w:gridSpan w:val="2"/>
            <w:tcBorders>
              <w:top w:val="single" w:color="auto" w:sz="4" w:space="0"/>
              <w:left w:val="nil"/>
              <w:bottom w:val="single" w:color="auto" w:sz="4" w:space="0"/>
              <w:right w:val="single" w:color="auto" w:sz="4" w:space="0"/>
            </w:tcBorders>
            <w:shd w:val="clear" w:color="auto" w:fill="auto"/>
            <w:vAlign w:val="center"/>
          </w:tcPr>
          <w:p>
            <w:pPr>
              <w:widowControl/>
              <w:rPr>
                <w:sz w:val="21"/>
                <w:szCs w:val="21"/>
              </w:rPr>
            </w:pPr>
            <w:r>
              <w:rPr>
                <w:rFonts w:hint="eastAsia"/>
                <w:sz w:val="21"/>
                <w:szCs w:val="21"/>
              </w:rPr>
              <w:t>全新电子锁</w:t>
            </w:r>
          </w:p>
        </w:tc>
      </w:tr>
      <w:tr>
        <w:tblPrEx>
          <w:tblCellMar>
            <w:top w:w="0" w:type="dxa"/>
            <w:left w:w="108" w:type="dxa"/>
            <w:bottom w:w="0" w:type="dxa"/>
            <w:right w:w="108" w:type="dxa"/>
          </w:tblCellMar>
        </w:tblPrEx>
        <w:trPr>
          <w:gridAfter w:val="2"/>
          <w:wAfter w:w="12" w:type="pct"/>
          <w:trHeight w:val="210" w:hRule="atLeast"/>
        </w:trPr>
        <w:tc>
          <w:tcPr>
            <w:tcW w:w="345" w:type="pct"/>
            <w:vMerge w:val="continue"/>
            <w:tcBorders>
              <w:left w:val="single" w:color="auto" w:sz="4" w:space="0"/>
              <w:bottom w:val="single" w:color="auto" w:sz="4" w:space="0"/>
              <w:right w:val="single" w:color="auto" w:sz="4" w:space="0"/>
            </w:tcBorders>
            <w:shd w:val="clear" w:color="auto" w:fill="auto"/>
            <w:noWrap/>
            <w:vAlign w:val="center"/>
          </w:tcPr>
          <w:p>
            <w:pPr>
              <w:rPr>
                <w:sz w:val="21"/>
                <w:szCs w:val="21"/>
              </w:rPr>
            </w:pPr>
          </w:p>
        </w:tc>
        <w:tc>
          <w:tcPr>
            <w:tcW w:w="800" w:type="pct"/>
            <w:vMerge w:val="continue"/>
            <w:tcBorders>
              <w:left w:val="nil"/>
              <w:bottom w:val="single" w:color="auto" w:sz="4" w:space="0"/>
              <w:right w:val="single" w:color="auto" w:sz="4" w:space="0"/>
            </w:tcBorders>
            <w:shd w:val="clear" w:color="auto" w:fill="auto"/>
            <w:vAlign w:val="center"/>
          </w:tcPr>
          <w:p>
            <w:pPr>
              <w:rPr>
                <w:sz w:val="21"/>
                <w:szCs w:val="21"/>
              </w:rPr>
            </w:pPr>
          </w:p>
        </w:tc>
        <w:tc>
          <w:tcPr>
            <w:tcW w:w="1303" w:type="pct"/>
            <w:vMerge w:val="continue"/>
            <w:tcBorders>
              <w:left w:val="nil"/>
              <w:bottom w:val="single" w:color="auto" w:sz="4" w:space="0"/>
              <w:right w:val="single" w:color="auto" w:sz="4" w:space="0"/>
            </w:tcBorders>
            <w:shd w:val="clear" w:color="auto" w:fill="auto"/>
            <w:vAlign w:val="center"/>
          </w:tcPr>
          <w:p>
            <w:pPr>
              <w:rPr>
                <w:sz w:val="21"/>
                <w:szCs w:val="21"/>
              </w:rPr>
            </w:pPr>
          </w:p>
        </w:tc>
        <w:tc>
          <w:tcPr>
            <w:tcW w:w="436" w:type="pct"/>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个</w:t>
            </w:r>
          </w:p>
        </w:tc>
        <w:tc>
          <w:tcPr>
            <w:tcW w:w="403"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sz w:val="21"/>
                <w:szCs w:val="21"/>
              </w:rPr>
            </w:pPr>
            <w:r>
              <w:rPr>
                <w:rFonts w:hint="eastAsia"/>
                <w:sz w:val="21"/>
                <w:szCs w:val="21"/>
              </w:rPr>
              <w:t>10</w:t>
            </w:r>
          </w:p>
        </w:tc>
        <w:tc>
          <w:tcPr>
            <w:tcW w:w="1700" w:type="pct"/>
            <w:gridSpan w:val="2"/>
            <w:tcBorders>
              <w:top w:val="single" w:color="auto" w:sz="4" w:space="0"/>
              <w:left w:val="nil"/>
              <w:bottom w:val="single" w:color="auto" w:sz="4" w:space="0"/>
              <w:right w:val="single" w:color="auto" w:sz="4" w:space="0"/>
            </w:tcBorders>
            <w:shd w:val="clear" w:color="auto" w:fill="auto"/>
            <w:vAlign w:val="center"/>
          </w:tcPr>
          <w:p>
            <w:pPr>
              <w:widowControl/>
              <w:rPr>
                <w:sz w:val="21"/>
                <w:szCs w:val="21"/>
              </w:rPr>
            </w:pPr>
            <w:r>
              <w:rPr>
                <w:rFonts w:hint="eastAsia"/>
                <w:sz w:val="21"/>
                <w:szCs w:val="21"/>
              </w:rPr>
              <w:t>全新读卡器</w:t>
            </w:r>
          </w:p>
        </w:tc>
      </w:tr>
    </w:tbl>
    <w:p>
      <w:pPr>
        <w:spacing w:line="440" w:lineRule="exact"/>
        <w:ind w:firstLine="140" w:firstLineChars="67"/>
        <w:rPr>
          <w:sz w:val="21"/>
          <w:szCs w:val="21"/>
        </w:rPr>
      </w:pPr>
    </w:p>
    <w:p>
      <w:pPr>
        <w:spacing w:line="440" w:lineRule="exact"/>
        <w:ind w:firstLine="140" w:firstLineChars="67"/>
        <w:rPr>
          <w:sz w:val="21"/>
          <w:szCs w:val="21"/>
        </w:rPr>
      </w:pPr>
      <w:r>
        <w:rPr>
          <w:rFonts w:hint="eastAsia"/>
          <w:sz w:val="21"/>
          <w:szCs w:val="21"/>
        </w:rPr>
        <w:t>（三）弱电系统维护服务要求：</w:t>
      </w:r>
    </w:p>
    <w:p>
      <w:pPr>
        <w:spacing w:line="440" w:lineRule="exact"/>
        <w:ind w:firstLine="420" w:firstLineChars="200"/>
        <w:rPr>
          <w:sz w:val="21"/>
          <w:szCs w:val="21"/>
        </w:rPr>
      </w:pPr>
      <w:r>
        <w:rPr>
          <w:sz w:val="21"/>
          <w:szCs w:val="21"/>
        </w:rPr>
        <w:t>3.1</w:t>
      </w:r>
      <w:r>
        <w:rPr>
          <w:rFonts w:hint="eastAsia"/>
          <w:sz w:val="21"/>
          <w:szCs w:val="21"/>
        </w:rPr>
        <w:t>日常巡检要求</w:t>
      </w:r>
    </w:p>
    <w:p>
      <w:pPr>
        <w:spacing w:line="440" w:lineRule="exact"/>
        <w:ind w:firstLine="420" w:firstLineChars="200"/>
        <w:rPr>
          <w:sz w:val="21"/>
          <w:szCs w:val="21"/>
        </w:rPr>
      </w:pPr>
      <w:r>
        <w:rPr>
          <w:rFonts w:hint="eastAsia"/>
          <w:sz w:val="21"/>
          <w:szCs w:val="21"/>
        </w:rPr>
        <w:t>在服务期内，定期对所有系统设备进行巡检，以确保所有设备及系统工作正常。工作频次要求不低于下表：</w:t>
      </w:r>
    </w:p>
    <w:tbl>
      <w:tblPr>
        <w:tblStyle w:val="44"/>
        <w:tblW w:w="9371" w:type="dxa"/>
        <w:tblInd w:w="93" w:type="dxa"/>
        <w:tblLayout w:type="autofit"/>
        <w:tblCellMar>
          <w:top w:w="0" w:type="dxa"/>
          <w:left w:w="108" w:type="dxa"/>
          <w:bottom w:w="0" w:type="dxa"/>
          <w:right w:w="108" w:type="dxa"/>
        </w:tblCellMar>
      </w:tblPr>
      <w:tblGrid>
        <w:gridCol w:w="2567"/>
        <w:gridCol w:w="2551"/>
        <w:gridCol w:w="2410"/>
        <w:gridCol w:w="1843"/>
      </w:tblGrid>
      <w:tr>
        <w:tblPrEx>
          <w:tblCellMar>
            <w:top w:w="0" w:type="dxa"/>
            <w:left w:w="108" w:type="dxa"/>
            <w:bottom w:w="0" w:type="dxa"/>
            <w:right w:w="108" w:type="dxa"/>
          </w:tblCellMar>
        </w:tblPrEx>
        <w:trPr>
          <w:trHeight w:val="540"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设备种类</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设备线路清洁及整理</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系统功能巡检及测试</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系统修订</w:t>
            </w:r>
          </w:p>
        </w:tc>
      </w:tr>
      <w:tr>
        <w:tblPrEx>
          <w:tblCellMar>
            <w:top w:w="0" w:type="dxa"/>
            <w:left w:w="108" w:type="dxa"/>
            <w:bottom w:w="0" w:type="dxa"/>
            <w:right w:w="108" w:type="dxa"/>
          </w:tblCellMar>
        </w:tblPrEx>
        <w:trPr>
          <w:trHeight w:val="419" w:hRule="atLeast"/>
        </w:trPr>
        <w:tc>
          <w:tcPr>
            <w:tcW w:w="2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弱电各系统</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每周3次</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r>
      <w:tr>
        <w:tblPrEx>
          <w:tblCellMar>
            <w:top w:w="0" w:type="dxa"/>
            <w:left w:w="108" w:type="dxa"/>
            <w:bottom w:w="0" w:type="dxa"/>
            <w:right w:w="108" w:type="dxa"/>
          </w:tblCellMar>
        </w:tblPrEx>
        <w:trPr>
          <w:trHeight w:val="540" w:hRule="atLeast"/>
        </w:trPr>
        <w:tc>
          <w:tcPr>
            <w:tcW w:w="2567"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弱电系统核心类设备</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每周1次</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r>
      <w:tr>
        <w:tblPrEx>
          <w:tblCellMar>
            <w:top w:w="0" w:type="dxa"/>
            <w:left w:w="108" w:type="dxa"/>
            <w:bottom w:w="0" w:type="dxa"/>
            <w:right w:w="108" w:type="dxa"/>
          </w:tblCellMar>
        </w:tblPrEx>
        <w:trPr>
          <w:trHeight w:val="540" w:hRule="atLeast"/>
        </w:trPr>
        <w:tc>
          <w:tcPr>
            <w:tcW w:w="2567" w:type="dxa"/>
            <w:tcBorders>
              <w:top w:val="nil"/>
              <w:left w:val="single" w:color="auto" w:sz="4" w:space="0"/>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前端接入基础类设备</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每周3次</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sz w:val="21"/>
                <w:szCs w:val="21"/>
              </w:rPr>
            </w:pPr>
            <w:r>
              <w:rPr>
                <w:rFonts w:hint="eastAsia"/>
                <w:sz w:val="21"/>
                <w:szCs w:val="21"/>
              </w:rPr>
              <w:t>每月1次</w:t>
            </w:r>
          </w:p>
        </w:tc>
      </w:tr>
    </w:tbl>
    <w:p>
      <w:pPr>
        <w:spacing w:line="440" w:lineRule="exact"/>
        <w:ind w:firstLine="420" w:firstLineChars="200"/>
        <w:rPr>
          <w:sz w:val="21"/>
          <w:szCs w:val="21"/>
        </w:rPr>
      </w:pPr>
      <w:r>
        <w:rPr>
          <w:sz w:val="21"/>
          <w:szCs w:val="21"/>
        </w:rPr>
        <w:t>3</w:t>
      </w:r>
      <w:r>
        <w:rPr>
          <w:rFonts w:hint="eastAsia"/>
          <w:sz w:val="21"/>
          <w:szCs w:val="21"/>
        </w:rPr>
        <w:t>.2系统升级要求</w:t>
      </w:r>
    </w:p>
    <w:p>
      <w:pPr>
        <w:spacing w:line="440" w:lineRule="exact"/>
        <w:ind w:firstLine="420" w:firstLineChars="200"/>
        <w:rPr>
          <w:sz w:val="21"/>
          <w:szCs w:val="21"/>
        </w:rPr>
      </w:pPr>
      <w:r>
        <w:rPr>
          <w:rFonts w:hint="eastAsia"/>
          <w:sz w:val="21"/>
          <w:szCs w:val="21"/>
        </w:rPr>
        <w:t>在服务期内，提供系统更新软件包、派遣经验丰富的工程师通过安全、可靠、经过验证的升级方法实施更新，避免系统发生故障或软件存在隐患，确保网络始终处于正常运行状态。</w:t>
      </w:r>
    </w:p>
    <w:p>
      <w:pPr>
        <w:spacing w:line="440" w:lineRule="exact"/>
        <w:ind w:firstLine="420" w:firstLineChars="200"/>
        <w:rPr>
          <w:sz w:val="21"/>
          <w:szCs w:val="21"/>
        </w:rPr>
      </w:pPr>
      <w:r>
        <w:rPr>
          <w:sz w:val="21"/>
          <w:szCs w:val="21"/>
        </w:rPr>
        <w:t>3</w:t>
      </w:r>
      <w:r>
        <w:rPr>
          <w:rFonts w:hint="eastAsia"/>
          <w:sz w:val="21"/>
          <w:szCs w:val="21"/>
        </w:rPr>
        <w:t>.3设备维护要求</w:t>
      </w:r>
    </w:p>
    <w:p>
      <w:pPr>
        <w:spacing w:line="440" w:lineRule="exact"/>
        <w:ind w:firstLine="420" w:firstLineChars="200"/>
        <w:rPr>
          <w:sz w:val="21"/>
          <w:szCs w:val="21"/>
        </w:rPr>
      </w:pPr>
      <w:r>
        <w:rPr>
          <w:rFonts w:hint="eastAsia"/>
          <w:sz w:val="21"/>
          <w:szCs w:val="21"/>
        </w:rPr>
        <w:t>（1）设备巡检、清洁及整理</w:t>
      </w:r>
    </w:p>
    <w:p>
      <w:pPr>
        <w:spacing w:line="440" w:lineRule="exact"/>
        <w:ind w:firstLine="420" w:firstLineChars="200"/>
        <w:rPr>
          <w:sz w:val="21"/>
          <w:szCs w:val="21"/>
        </w:rPr>
      </w:pPr>
      <w:r>
        <w:rPr>
          <w:rFonts w:hint="eastAsia"/>
          <w:sz w:val="21"/>
          <w:szCs w:val="21"/>
        </w:rPr>
        <w:t>检查各系统核心设备使用率等，报告异常情况，清除主机灰尘，使设备运行在最优状态。</w:t>
      </w:r>
    </w:p>
    <w:p>
      <w:pPr>
        <w:spacing w:line="440" w:lineRule="exact"/>
        <w:ind w:firstLine="420" w:firstLineChars="200"/>
        <w:rPr>
          <w:sz w:val="21"/>
          <w:szCs w:val="21"/>
        </w:rPr>
      </w:pPr>
      <w:r>
        <w:rPr>
          <w:rFonts w:hint="eastAsia"/>
          <w:sz w:val="21"/>
          <w:szCs w:val="21"/>
        </w:rPr>
        <w:t>（2）系统功能检查及测试</w:t>
      </w:r>
    </w:p>
    <w:p>
      <w:pPr>
        <w:spacing w:line="440" w:lineRule="exact"/>
        <w:ind w:firstLine="420" w:firstLineChars="200"/>
        <w:rPr>
          <w:sz w:val="21"/>
          <w:szCs w:val="21"/>
        </w:rPr>
      </w:pPr>
      <w:r>
        <w:rPr>
          <w:rFonts w:hint="eastAsia"/>
          <w:sz w:val="21"/>
          <w:szCs w:val="21"/>
        </w:rPr>
        <w:t>检查设备软件系统运行情况，检查是否存在异常，发现异常及时处理，使设备运行在最优状态。</w:t>
      </w:r>
    </w:p>
    <w:p>
      <w:pPr>
        <w:spacing w:line="440" w:lineRule="exact"/>
        <w:ind w:firstLine="420" w:firstLineChars="200"/>
        <w:rPr>
          <w:sz w:val="21"/>
          <w:szCs w:val="21"/>
        </w:rPr>
      </w:pPr>
      <w:r>
        <w:rPr>
          <w:sz w:val="21"/>
          <w:szCs w:val="21"/>
        </w:rPr>
        <w:t>3</w:t>
      </w:r>
      <w:r>
        <w:rPr>
          <w:rFonts w:hint="eastAsia"/>
          <w:sz w:val="21"/>
          <w:szCs w:val="21"/>
        </w:rPr>
        <w:t>.4基础设施类设备维护要求</w:t>
      </w:r>
    </w:p>
    <w:p>
      <w:pPr>
        <w:spacing w:line="440" w:lineRule="exact"/>
        <w:ind w:firstLine="420" w:firstLineChars="200"/>
        <w:rPr>
          <w:sz w:val="21"/>
          <w:szCs w:val="21"/>
        </w:rPr>
      </w:pPr>
      <w:r>
        <w:rPr>
          <w:rFonts w:hint="eastAsia"/>
          <w:sz w:val="21"/>
          <w:szCs w:val="21"/>
        </w:rPr>
        <w:t>（1）工作巡检、清洁及整理</w:t>
      </w:r>
    </w:p>
    <w:p>
      <w:pPr>
        <w:spacing w:line="440" w:lineRule="exact"/>
        <w:ind w:firstLine="420" w:firstLineChars="200"/>
        <w:rPr>
          <w:sz w:val="21"/>
          <w:szCs w:val="21"/>
        </w:rPr>
      </w:pPr>
      <w:r>
        <w:rPr>
          <w:rFonts w:hint="eastAsia"/>
          <w:sz w:val="21"/>
          <w:szCs w:val="21"/>
        </w:rPr>
        <w:t>每个月对各个布线机柜，工作区模块、水平电缆主干电缆及光缆进行日常维护、清洁及整理，对损坏和老化的模块、电缆及光缆进行更换和维护。</w:t>
      </w:r>
    </w:p>
    <w:p>
      <w:pPr>
        <w:spacing w:line="440" w:lineRule="exact"/>
        <w:ind w:firstLine="420" w:firstLineChars="200"/>
        <w:rPr>
          <w:sz w:val="21"/>
          <w:szCs w:val="21"/>
        </w:rPr>
      </w:pPr>
      <w:r>
        <w:rPr>
          <w:rFonts w:hint="eastAsia"/>
          <w:sz w:val="21"/>
          <w:szCs w:val="21"/>
        </w:rPr>
        <w:t>（2）每个月对工作区模块，水平电缆、主干电缆、主干光纤、电压电流保护模块进行系统功能检查和维护。每月根据需要对各系统设备的功能进行检查及测试。</w:t>
      </w:r>
    </w:p>
    <w:p>
      <w:pPr>
        <w:spacing w:line="440" w:lineRule="exact"/>
        <w:ind w:firstLine="420" w:firstLineChars="200"/>
        <w:rPr>
          <w:sz w:val="21"/>
          <w:szCs w:val="21"/>
        </w:rPr>
      </w:pPr>
      <w:r>
        <w:rPr>
          <w:rFonts w:hint="eastAsia"/>
          <w:sz w:val="21"/>
          <w:szCs w:val="21"/>
        </w:rPr>
        <w:t>（3）系统修订</w:t>
      </w:r>
    </w:p>
    <w:p>
      <w:pPr>
        <w:spacing w:line="440" w:lineRule="exact"/>
        <w:ind w:firstLine="420" w:firstLineChars="200"/>
        <w:rPr>
          <w:sz w:val="21"/>
          <w:szCs w:val="21"/>
        </w:rPr>
      </w:pPr>
      <w:r>
        <w:rPr>
          <w:rFonts w:hint="eastAsia"/>
          <w:sz w:val="21"/>
          <w:szCs w:val="21"/>
        </w:rPr>
        <w:t>每个月对传输光端机、交换机等设备的状态进行修订。</w:t>
      </w:r>
    </w:p>
    <w:p>
      <w:pPr>
        <w:spacing w:line="440" w:lineRule="exact"/>
        <w:ind w:firstLine="420" w:firstLineChars="200"/>
        <w:rPr>
          <w:sz w:val="21"/>
          <w:szCs w:val="21"/>
        </w:rPr>
      </w:pPr>
      <w:r>
        <w:rPr>
          <w:rFonts w:hint="eastAsia"/>
          <w:sz w:val="21"/>
          <w:szCs w:val="21"/>
        </w:rPr>
        <w:t>▲</w:t>
      </w:r>
      <w:r>
        <w:rPr>
          <w:sz w:val="21"/>
          <w:szCs w:val="21"/>
        </w:rPr>
        <w:t>3</w:t>
      </w:r>
      <w:r>
        <w:rPr>
          <w:rFonts w:hint="eastAsia"/>
          <w:sz w:val="21"/>
          <w:szCs w:val="21"/>
        </w:rPr>
        <w:t>.5维护服务响应要求</w:t>
      </w:r>
    </w:p>
    <w:p>
      <w:pPr>
        <w:spacing w:line="440" w:lineRule="exact"/>
        <w:ind w:firstLine="420" w:firstLineChars="200"/>
        <w:rPr>
          <w:sz w:val="21"/>
          <w:szCs w:val="21"/>
        </w:rPr>
      </w:pPr>
      <w:r>
        <w:rPr>
          <w:rFonts w:hint="eastAsia"/>
          <w:sz w:val="21"/>
          <w:szCs w:val="21"/>
        </w:rPr>
        <w:t>提供全年7*24小时维保服务，现场驻场维修人员正常工作日时间为8:00分至17:30分，接到采购人的报障信息后，现场响应时间不超过30分钟，非工作日期间响应时间不超过1小时，达到现场时间不超过2小时；常规故障问题须在</w:t>
      </w:r>
      <w:r>
        <w:rPr>
          <w:sz w:val="21"/>
          <w:szCs w:val="21"/>
        </w:rPr>
        <w:t>12</w:t>
      </w:r>
      <w:r>
        <w:rPr>
          <w:rFonts w:hint="eastAsia"/>
          <w:sz w:val="21"/>
          <w:szCs w:val="21"/>
        </w:rPr>
        <w:t>小时内解决，应急情况下或核心故障问题须在5小时内解决，并按医院主管部门要求恢复系统运行；如故障设备需拆卸返厂维修，应及时提供不低于原设备性能的备用设备，以保证系统的正常运行；每次维保服务须提交《现场服务报告》。</w:t>
      </w:r>
    </w:p>
    <w:p>
      <w:pPr>
        <w:spacing w:line="440" w:lineRule="exact"/>
        <w:ind w:firstLine="420" w:firstLineChars="200"/>
        <w:rPr>
          <w:sz w:val="21"/>
          <w:szCs w:val="21"/>
        </w:rPr>
      </w:pPr>
      <w:r>
        <w:rPr>
          <w:rFonts w:hint="eastAsia" w:ascii="宋体" w:hAnsi="宋体"/>
          <w:sz w:val="21"/>
          <w:szCs w:val="21"/>
        </w:rPr>
        <w:t>★</w:t>
      </w:r>
      <w:r>
        <w:rPr>
          <w:sz w:val="21"/>
          <w:szCs w:val="21"/>
        </w:rPr>
        <w:t>3</w:t>
      </w:r>
      <w:r>
        <w:rPr>
          <w:rFonts w:hint="eastAsia"/>
          <w:sz w:val="21"/>
          <w:szCs w:val="21"/>
        </w:rPr>
        <w:t>.6故障设备维修要求</w:t>
      </w:r>
    </w:p>
    <w:p>
      <w:pPr>
        <w:spacing w:line="440" w:lineRule="exact"/>
        <w:ind w:firstLine="420" w:firstLineChars="200"/>
        <w:rPr>
          <w:sz w:val="21"/>
          <w:szCs w:val="21"/>
        </w:rPr>
      </w:pPr>
      <w:r>
        <w:rPr>
          <w:rFonts w:hint="eastAsia"/>
          <w:sz w:val="21"/>
          <w:szCs w:val="21"/>
        </w:rPr>
        <w:t>（1）在项目维保服务期内，投标人负责解决维护服务范围清单内所有设备及系统的质量和维修问题，期间所产生的费用都由中标人承担。</w:t>
      </w:r>
    </w:p>
    <w:p>
      <w:pPr>
        <w:spacing w:line="440" w:lineRule="exact"/>
        <w:ind w:firstLine="420" w:firstLineChars="200"/>
        <w:rPr>
          <w:sz w:val="21"/>
          <w:szCs w:val="21"/>
        </w:rPr>
      </w:pPr>
      <w:r>
        <w:rPr>
          <w:rFonts w:hint="eastAsia"/>
          <w:sz w:val="21"/>
          <w:szCs w:val="21"/>
        </w:rPr>
        <w:t>（2）为保障服务范围内各系统正常使用，对于已停产设备无备件且无法修复，以及故障损坏程度达到无法使用的情况，投标人应使用性能不低于原故障设备的替换设备及配件进行更换升级，确保系统能够稳定运行，并能支持采购人所有应用维持在原有的水平。替换设备所发生费用由投标人承担。</w:t>
      </w:r>
    </w:p>
    <w:p>
      <w:pPr>
        <w:spacing w:line="440" w:lineRule="exact"/>
        <w:ind w:firstLine="420" w:firstLineChars="200"/>
        <w:rPr>
          <w:sz w:val="21"/>
          <w:szCs w:val="21"/>
        </w:rPr>
      </w:pPr>
      <w:r>
        <w:rPr>
          <w:rFonts w:hint="eastAsia"/>
          <w:sz w:val="21"/>
          <w:szCs w:val="21"/>
        </w:rPr>
        <w:t>（3）维保服务期内，当整机或配件的维修更换费用超出￥50000元/台，由采购人另行负责采购，中标人免费提供相应的安装调试服务。（注：“整机或配件”指单台单件设备或物件）。整机或配件的价格以京东商城（www.jd.com）或同类项目招标采购价格（以对外发布的中标公告的中标价）为参照。</w:t>
      </w:r>
    </w:p>
    <w:p>
      <w:pPr>
        <w:spacing w:line="440" w:lineRule="exact"/>
        <w:ind w:firstLine="420" w:firstLineChars="200"/>
        <w:rPr>
          <w:sz w:val="21"/>
          <w:szCs w:val="21"/>
        </w:rPr>
      </w:pPr>
      <w:r>
        <w:rPr>
          <w:rFonts w:hint="eastAsia"/>
          <w:sz w:val="21"/>
          <w:szCs w:val="21"/>
        </w:rPr>
        <w:t>▲</w:t>
      </w:r>
      <w:r>
        <w:rPr>
          <w:sz w:val="21"/>
          <w:szCs w:val="21"/>
        </w:rPr>
        <w:t>3</w:t>
      </w:r>
      <w:r>
        <w:rPr>
          <w:rFonts w:hint="eastAsia"/>
          <w:sz w:val="21"/>
          <w:szCs w:val="21"/>
        </w:rPr>
        <w:t>.7 设备整机及配件备货要求</w:t>
      </w:r>
    </w:p>
    <w:p>
      <w:pPr>
        <w:spacing w:line="440" w:lineRule="exact"/>
        <w:ind w:firstLine="420" w:firstLineChars="200"/>
        <w:rPr>
          <w:sz w:val="21"/>
          <w:szCs w:val="21"/>
        </w:rPr>
      </w:pPr>
      <w:r>
        <w:rPr>
          <w:rFonts w:hint="eastAsia"/>
          <w:sz w:val="21"/>
          <w:szCs w:val="21"/>
        </w:rPr>
        <w:t>（1）基于保障设备维修及抢修的及时性和便利性，中标人自合同签订之日起至服务期结束，须在采购人5公里范围内建立项目备机备件仓库（提供场地租赁合同证明文件及备件仓库相关证明材料），并设专人负责管理，确保备机备件可用、充足；备机备件参数性能不能低于项目设备的参数性能。</w:t>
      </w:r>
    </w:p>
    <w:p>
      <w:pPr>
        <w:spacing w:line="440" w:lineRule="exact"/>
        <w:ind w:firstLine="420" w:firstLineChars="200"/>
        <w:rPr>
          <w:sz w:val="21"/>
          <w:szCs w:val="21"/>
        </w:rPr>
      </w:pPr>
      <w:r>
        <w:rPr>
          <w:rFonts w:hint="eastAsia"/>
          <w:sz w:val="21"/>
          <w:szCs w:val="21"/>
        </w:rPr>
        <w:t>（2）建立备机备件使用登记和故障设备送修记录卡，密切跟踪故障设备的返修情况，修复后应进行必要的检验并及时入库。</w:t>
      </w:r>
    </w:p>
    <w:p>
      <w:pPr>
        <w:spacing w:line="440" w:lineRule="exact"/>
        <w:ind w:firstLine="420" w:firstLineChars="200"/>
        <w:rPr>
          <w:sz w:val="21"/>
          <w:szCs w:val="21"/>
        </w:rPr>
      </w:pPr>
      <w:r>
        <w:rPr>
          <w:rFonts w:hint="eastAsia"/>
          <w:sz w:val="21"/>
          <w:szCs w:val="21"/>
        </w:rPr>
        <w:t>（3）对抢修、维护中消耗的器材、材料要及时补充。</w:t>
      </w:r>
    </w:p>
    <w:p>
      <w:pPr>
        <w:spacing w:line="440" w:lineRule="exact"/>
        <w:ind w:firstLine="420" w:firstLineChars="200"/>
        <w:rPr>
          <w:sz w:val="21"/>
          <w:szCs w:val="21"/>
        </w:rPr>
      </w:pPr>
      <w:r>
        <w:rPr>
          <w:sz w:val="21"/>
          <w:szCs w:val="21"/>
        </w:rPr>
        <w:t>3</w:t>
      </w:r>
      <w:r>
        <w:rPr>
          <w:rFonts w:hint="eastAsia"/>
          <w:sz w:val="21"/>
          <w:szCs w:val="21"/>
        </w:rPr>
        <w:t>.8 维护运维资料</w:t>
      </w:r>
    </w:p>
    <w:p>
      <w:pPr>
        <w:spacing w:line="440" w:lineRule="exact"/>
        <w:ind w:firstLine="420" w:firstLineChars="200"/>
        <w:rPr>
          <w:sz w:val="21"/>
          <w:szCs w:val="21"/>
        </w:rPr>
      </w:pPr>
      <w:r>
        <w:rPr>
          <w:rFonts w:hint="eastAsia"/>
          <w:sz w:val="21"/>
          <w:szCs w:val="21"/>
        </w:rPr>
        <w:t>（1）在维护期内，提供必要的各类维护报告，以保证维护服务质量及后续整改。</w:t>
      </w:r>
    </w:p>
    <w:p>
      <w:pPr>
        <w:spacing w:line="440" w:lineRule="exact"/>
        <w:ind w:firstLine="420" w:firstLineChars="200"/>
        <w:rPr>
          <w:sz w:val="21"/>
          <w:szCs w:val="21"/>
        </w:rPr>
      </w:pPr>
      <w:r>
        <w:rPr>
          <w:rFonts w:hint="eastAsia"/>
          <w:sz w:val="21"/>
          <w:szCs w:val="21"/>
        </w:rPr>
        <w:t>（2）所有巡检、维护、故障处理均须出具书面的维修巡检处理报告。</w:t>
      </w:r>
    </w:p>
    <w:p>
      <w:pPr>
        <w:spacing w:line="440" w:lineRule="exact"/>
        <w:ind w:firstLine="420" w:firstLineChars="200"/>
        <w:rPr>
          <w:sz w:val="21"/>
          <w:szCs w:val="21"/>
        </w:rPr>
      </w:pPr>
      <w:r>
        <w:rPr>
          <w:rFonts w:hint="eastAsia"/>
          <w:sz w:val="21"/>
          <w:szCs w:val="21"/>
        </w:rPr>
        <w:t>（3）每月提供巡检报告、维护记录台账、故障处理记录台账等资料，双方存档备案。</w:t>
      </w:r>
    </w:p>
    <w:p>
      <w:pPr>
        <w:spacing w:line="440" w:lineRule="exact"/>
        <w:ind w:firstLine="420" w:firstLineChars="200"/>
        <w:rPr>
          <w:sz w:val="21"/>
          <w:szCs w:val="21"/>
        </w:rPr>
      </w:pPr>
      <w:r>
        <w:rPr>
          <w:rFonts w:hint="eastAsia"/>
          <w:sz w:val="21"/>
          <w:szCs w:val="21"/>
        </w:rPr>
        <w:t>▲</w:t>
      </w:r>
      <w:r>
        <w:rPr>
          <w:sz w:val="21"/>
          <w:szCs w:val="21"/>
        </w:rPr>
        <w:t>3.</w:t>
      </w:r>
      <w:r>
        <w:rPr>
          <w:rFonts w:hint="eastAsia"/>
          <w:sz w:val="21"/>
          <w:szCs w:val="21"/>
        </w:rPr>
        <w:t>9维护服务人员要求：</w:t>
      </w:r>
    </w:p>
    <w:p>
      <w:pPr>
        <w:spacing w:line="440" w:lineRule="exact"/>
        <w:ind w:firstLine="420" w:firstLineChars="200"/>
        <w:rPr>
          <w:sz w:val="21"/>
          <w:szCs w:val="21"/>
        </w:rPr>
      </w:pPr>
      <w:r>
        <w:rPr>
          <w:rFonts w:hint="eastAsia"/>
          <w:sz w:val="21"/>
          <w:szCs w:val="21"/>
        </w:rPr>
        <w:t>（1）为便于快捷、稳定、有效的提供应急服务保障，满足维保工作需求，投标人须固定派驻服务本项目的项目负责人1名，负责本项目从领取中标通知书开始至服务期内的相关工作；项目负责人须具备</w:t>
      </w:r>
      <w:r>
        <w:rPr>
          <w:sz w:val="21"/>
          <w:szCs w:val="21"/>
        </w:rPr>
        <w:t>计算机类或通信类专业本科（或以上）学历，具有ITIL认证证书</w:t>
      </w:r>
      <w:r>
        <w:rPr>
          <w:rFonts w:hint="eastAsia"/>
          <w:sz w:val="21"/>
          <w:szCs w:val="21"/>
        </w:rPr>
        <w:t>或信息系统集成及服务项目高级项目经理证书；正常工作日驻场维保工程师至少2名，非工作日期间驻场维保工程师至少1名，维保工程师须具备电子、通信或电气类工程师职称证书。在服务期内，未经采购人同意，不得随意变动维保服务人员。</w:t>
      </w:r>
    </w:p>
    <w:p>
      <w:pPr>
        <w:spacing w:line="440" w:lineRule="exact"/>
        <w:ind w:firstLine="420" w:firstLineChars="200"/>
        <w:rPr>
          <w:sz w:val="21"/>
          <w:szCs w:val="21"/>
        </w:rPr>
      </w:pPr>
      <w:r>
        <w:rPr>
          <w:rFonts w:hint="eastAsia"/>
          <w:sz w:val="21"/>
          <w:szCs w:val="21"/>
        </w:rPr>
        <w:t>（2）拟派的维保服务人员必须严格按照操作规范作业，遵守采购人各项管理规定，接受采购人的意见和安排。</w:t>
      </w:r>
    </w:p>
    <w:p>
      <w:pPr>
        <w:spacing w:line="440" w:lineRule="exact"/>
        <w:ind w:firstLine="420" w:firstLineChars="200"/>
        <w:rPr>
          <w:sz w:val="21"/>
          <w:szCs w:val="21"/>
        </w:rPr>
      </w:pPr>
      <w:r>
        <w:rPr>
          <w:rFonts w:hint="eastAsia"/>
          <w:sz w:val="21"/>
          <w:szCs w:val="21"/>
        </w:rPr>
        <w:t>（3）拟派的维保服务人员须持证上岗，人员名单须报采购人备案，中标人不得对派出的服务人员在工作期间另行安排其他单位的工作任务。如需更换调整派出的服务人员，必须及时通报采购人，提供派出人员的姓名、通讯号码并提供他们有效的资格证书复印件（须加中标人单位印章）。</w:t>
      </w:r>
    </w:p>
    <w:p>
      <w:pPr>
        <w:spacing w:line="440" w:lineRule="exact"/>
        <w:ind w:firstLine="420" w:firstLineChars="200"/>
        <w:rPr>
          <w:sz w:val="21"/>
          <w:szCs w:val="21"/>
        </w:rPr>
      </w:pPr>
      <w:r>
        <w:rPr>
          <w:rFonts w:hint="eastAsia"/>
          <w:sz w:val="21"/>
          <w:szCs w:val="21"/>
        </w:rPr>
        <w:t>（4）中标人须按国家、省、市有关法规文件规定，负责做好所派出服务人员的各种保险、安全等管理工作，如发生安全事故或因管理不善出现违法违规事件，由中标人负全责，若给采购人及第三方造成损失，中标人应负责按额赔偿。</w:t>
      </w:r>
    </w:p>
    <w:p>
      <w:pPr>
        <w:spacing w:line="440" w:lineRule="exact"/>
        <w:ind w:firstLine="420" w:firstLineChars="200"/>
        <w:rPr>
          <w:sz w:val="21"/>
          <w:szCs w:val="21"/>
        </w:rPr>
      </w:pPr>
      <w:r>
        <w:rPr>
          <w:rFonts w:hint="eastAsia"/>
          <w:sz w:val="21"/>
          <w:szCs w:val="21"/>
        </w:rPr>
        <w:t>▲</w:t>
      </w:r>
      <w:r>
        <w:rPr>
          <w:sz w:val="21"/>
          <w:szCs w:val="21"/>
        </w:rPr>
        <w:t>3</w:t>
      </w:r>
      <w:r>
        <w:rPr>
          <w:rFonts w:hint="eastAsia"/>
          <w:sz w:val="21"/>
          <w:szCs w:val="21"/>
        </w:rPr>
        <w:t>.10维保服务质量要求</w:t>
      </w:r>
    </w:p>
    <w:p>
      <w:pPr>
        <w:spacing w:line="440" w:lineRule="exact"/>
        <w:ind w:firstLine="420" w:firstLineChars="200"/>
        <w:rPr>
          <w:sz w:val="21"/>
          <w:szCs w:val="21"/>
        </w:rPr>
      </w:pPr>
      <w:r>
        <w:rPr>
          <w:rFonts w:hint="eastAsia"/>
          <w:sz w:val="21"/>
          <w:szCs w:val="21"/>
        </w:rPr>
        <w:t>为确保本项目的服务质量，满足临床一线工作及后勤管理工作实际需求，及时规范、高效、有质量地解决各类维保问题，投标人应具有和本项目相关的电子与智能化工程专业承包资质、安全技术防范系统资格、本项目核心网络设备厂家认证的服务资质证书。</w:t>
      </w:r>
    </w:p>
    <w:p>
      <w:pPr>
        <w:spacing w:line="440" w:lineRule="exact"/>
        <w:ind w:firstLine="420" w:firstLineChars="200"/>
        <w:rPr>
          <w:sz w:val="21"/>
          <w:szCs w:val="21"/>
        </w:rPr>
      </w:pPr>
      <w:r>
        <w:rPr>
          <w:sz w:val="21"/>
          <w:szCs w:val="21"/>
        </w:rPr>
        <w:t>3.11</w:t>
      </w:r>
      <w:r>
        <w:rPr>
          <w:rFonts w:hint="eastAsia"/>
          <w:sz w:val="21"/>
          <w:szCs w:val="21"/>
        </w:rPr>
        <w:t xml:space="preserve"> 项目保密要求</w:t>
      </w:r>
    </w:p>
    <w:p>
      <w:pPr>
        <w:spacing w:line="440" w:lineRule="exact"/>
        <w:ind w:firstLine="420" w:firstLineChars="200"/>
        <w:rPr>
          <w:sz w:val="21"/>
          <w:szCs w:val="21"/>
        </w:rPr>
      </w:pPr>
      <w:r>
        <w:rPr>
          <w:rFonts w:hint="eastAsia"/>
          <w:sz w:val="21"/>
          <w:szCs w:val="21"/>
        </w:rPr>
        <w:t>（1）采购人提供所有维保设备资料，仅供中标人参与维保人员参考使用，中标人需严守采购人资料中所涉内容（如设备配置、系统密码等），妥善保管，不得遗失、转借、复印。</w:t>
      </w:r>
    </w:p>
    <w:p>
      <w:pPr>
        <w:spacing w:line="440" w:lineRule="exact"/>
        <w:ind w:firstLine="420" w:firstLineChars="200"/>
        <w:rPr>
          <w:sz w:val="21"/>
          <w:szCs w:val="21"/>
        </w:rPr>
      </w:pPr>
      <w:r>
        <w:rPr>
          <w:rFonts w:hint="eastAsia"/>
          <w:sz w:val="21"/>
          <w:szCs w:val="21"/>
        </w:rPr>
        <w:t>（2）中标人未得到采购人同意，不得复制备份有关信息至其他储存设备。</w:t>
      </w:r>
    </w:p>
    <w:p>
      <w:pPr>
        <w:spacing w:line="440" w:lineRule="exact"/>
        <w:ind w:firstLine="420" w:firstLineChars="200"/>
        <w:rPr>
          <w:sz w:val="21"/>
          <w:szCs w:val="21"/>
        </w:rPr>
      </w:pPr>
      <w:r>
        <w:rPr>
          <w:rFonts w:hint="eastAsia"/>
          <w:sz w:val="21"/>
          <w:szCs w:val="21"/>
        </w:rPr>
        <w:t>（3）中标人及维保人员需严格遵守采购人的网络信息安全管理规定。</w:t>
      </w:r>
    </w:p>
    <w:p>
      <w:pPr>
        <w:spacing w:line="440" w:lineRule="exact"/>
        <w:ind w:firstLine="420" w:firstLineChars="200"/>
        <w:rPr>
          <w:sz w:val="21"/>
          <w:szCs w:val="21"/>
        </w:rPr>
      </w:pPr>
    </w:p>
    <w:p>
      <w:pPr>
        <w:pStyle w:val="2"/>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二、采购项目商务要求</w:t>
      </w:r>
    </w:p>
    <w:p>
      <w:pPr>
        <w:spacing w:line="440" w:lineRule="exact"/>
        <w:ind w:firstLine="465"/>
        <w:rPr>
          <w:sz w:val="21"/>
          <w:szCs w:val="21"/>
        </w:rPr>
      </w:pPr>
      <w:r>
        <w:rPr>
          <w:rFonts w:hint="eastAsia"/>
          <w:sz w:val="21"/>
          <w:szCs w:val="21"/>
        </w:rPr>
        <w:t>1、服务期限：自合同签订之日起计1年，合同签署5个工作日内中标人即可派驻人员驻场进行维护服务。</w:t>
      </w:r>
    </w:p>
    <w:p>
      <w:pPr>
        <w:spacing w:line="440" w:lineRule="exact"/>
        <w:ind w:firstLine="465"/>
        <w:rPr>
          <w:sz w:val="21"/>
          <w:szCs w:val="21"/>
        </w:rPr>
      </w:pPr>
      <w:r>
        <w:rPr>
          <w:rFonts w:hint="eastAsia"/>
          <w:sz w:val="21"/>
          <w:szCs w:val="21"/>
        </w:rPr>
        <w:t>2、服务地点：惠州市中大惠亚医院</w:t>
      </w:r>
    </w:p>
    <w:p>
      <w:pPr>
        <w:spacing w:line="440" w:lineRule="exact"/>
        <w:ind w:firstLine="465"/>
        <w:rPr>
          <w:sz w:val="21"/>
          <w:szCs w:val="21"/>
        </w:rPr>
      </w:pPr>
      <w:r>
        <w:rPr>
          <w:rFonts w:hint="eastAsia"/>
          <w:sz w:val="21"/>
          <w:szCs w:val="21"/>
        </w:rPr>
        <w:t>3、验收要求：</w:t>
      </w:r>
    </w:p>
    <w:p>
      <w:pPr>
        <w:spacing w:line="440" w:lineRule="exact"/>
        <w:ind w:firstLine="465"/>
        <w:rPr>
          <w:sz w:val="21"/>
          <w:szCs w:val="21"/>
        </w:rPr>
      </w:pPr>
      <w:r>
        <w:rPr>
          <w:rFonts w:hint="eastAsia"/>
          <w:sz w:val="21"/>
          <w:szCs w:val="21"/>
        </w:rPr>
        <w:t>（1）项目维保服务质量按季度考核，每季度中标人按时提交《季度维保服务记录单》和《季度设备维保巡检报告》等相关材料存档备案。</w:t>
      </w:r>
    </w:p>
    <w:p>
      <w:pPr>
        <w:spacing w:line="440" w:lineRule="exact"/>
        <w:ind w:firstLine="465"/>
        <w:rPr>
          <w:sz w:val="21"/>
          <w:szCs w:val="21"/>
        </w:rPr>
      </w:pPr>
      <w:r>
        <w:rPr>
          <w:rFonts w:hint="eastAsia"/>
          <w:sz w:val="21"/>
          <w:szCs w:val="21"/>
        </w:rPr>
        <w:t>（2）中标人必须按合同约定完成本项目维保服务工作，采购人对中标人每半年进行一次服务质量综合考核及阶段验收付款工作。不满足采购人考核要求的，需整改合格后再进行考核验收及付款工作，项目付款周期根据整改所耗时间顺延。</w:t>
      </w:r>
    </w:p>
    <w:p>
      <w:pPr>
        <w:spacing w:line="440" w:lineRule="exact"/>
        <w:ind w:firstLine="465"/>
        <w:rPr>
          <w:sz w:val="21"/>
          <w:szCs w:val="21"/>
        </w:rPr>
      </w:pPr>
      <w:r>
        <w:rPr>
          <w:rFonts w:hint="eastAsia"/>
          <w:sz w:val="21"/>
          <w:szCs w:val="21"/>
        </w:rPr>
        <w:t>4、付款方式：</w:t>
      </w:r>
    </w:p>
    <w:p>
      <w:pPr>
        <w:spacing w:line="440" w:lineRule="exact"/>
        <w:ind w:firstLine="465"/>
        <w:rPr>
          <w:sz w:val="21"/>
          <w:szCs w:val="21"/>
        </w:rPr>
      </w:pPr>
      <w:r>
        <w:rPr>
          <w:rFonts w:hint="eastAsia"/>
          <w:sz w:val="21"/>
          <w:szCs w:val="21"/>
        </w:rPr>
        <w:t>（1）维保服务满半年，采购人对中标人半年期服务质量考核验收通过后，凭中标人提供的正式发票，支付合同总额的50%；</w:t>
      </w:r>
    </w:p>
    <w:p>
      <w:pPr>
        <w:spacing w:line="440" w:lineRule="exact"/>
        <w:ind w:firstLine="465"/>
        <w:rPr>
          <w:sz w:val="21"/>
          <w:szCs w:val="21"/>
        </w:rPr>
      </w:pPr>
      <w:r>
        <w:rPr>
          <w:rFonts w:hint="eastAsia"/>
          <w:sz w:val="21"/>
          <w:szCs w:val="21"/>
        </w:rPr>
        <w:t>（2）维保服务满一年，采购人对中标人全年期服务质量考核验收通过后，凭中标人提供的正式发票，支付合同总额的50%；</w:t>
      </w:r>
    </w:p>
    <w:p>
      <w:pPr>
        <w:spacing w:line="440" w:lineRule="exact"/>
        <w:ind w:firstLine="465"/>
        <w:rPr>
          <w:sz w:val="21"/>
          <w:szCs w:val="21"/>
        </w:rPr>
      </w:pPr>
      <w:r>
        <w:rPr>
          <w:rFonts w:hint="eastAsia"/>
          <w:sz w:val="21"/>
          <w:szCs w:val="21"/>
        </w:rPr>
        <w:t>（3）采购人不承担因资金不能及时到位给中标人造成的任何损失。</w:t>
      </w:r>
    </w:p>
    <w:p>
      <w:pPr>
        <w:spacing w:line="440" w:lineRule="exact"/>
        <w:ind w:firstLine="465"/>
        <w:rPr>
          <w:sz w:val="21"/>
          <w:szCs w:val="21"/>
        </w:rPr>
      </w:pPr>
      <w:r>
        <w:rPr>
          <w:rFonts w:hint="eastAsia"/>
          <w:sz w:val="21"/>
          <w:szCs w:val="21"/>
        </w:rPr>
        <w:t>5、报价要求：</w:t>
      </w:r>
    </w:p>
    <w:p>
      <w:pPr>
        <w:spacing w:line="440" w:lineRule="exact"/>
        <w:ind w:firstLine="465"/>
        <w:rPr>
          <w:sz w:val="21"/>
          <w:szCs w:val="21"/>
        </w:rPr>
      </w:pPr>
      <w:r>
        <w:rPr>
          <w:rFonts w:hint="eastAsia"/>
          <w:sz w:val="21"/>
          <w:szCs w:val="21"/>
        </w:rPr>
        <w:t>投标总价中必须包括完成项目全部内容的费用（含成本、人员福利、保险、税费、利润等），费用不管是否在投标人报价书中单列，均视为投标总价中已包括该费用，中标后的价格为一次性不变价，在合同有效期内不作调整。</w:t>
      </w:r>
    </w:p>
    <w:p>
      <w:pPr>
        <w:spacing w:line="440" w:lineRule="exact"/>
        <w:ind w:firstLine="465"/>
        <w:rPr>
          <w:sz w:val="21"/>
          <w:szCs w:val="21"/>
        </w:rPr>
      </w:pPr>
      <w:r>
        <w:rPr>
          <w:rFonts w:hint="eastAsia"/>
          <w:sz w:val="21"/>
          <w:szCs w:val="21"/>
        </w:rPr>
        <w:t>6、售后服务：</w:t>
      </w:r>
    </w:p>
    <w:p>
      <w:pPr>
        <w:spacing w:line="440" w:lineRule="exact"/>
        <w:ind w:firstLine="465"/>
        <w:rPr>
          <w:sz w:val="21"/>
          <w:szCs w:val="21"/>
        </w:rPr>
      </w:pPr>
      <w:r>
        <w:rPr>
          <w:rFonts w:hint="eastAsia"/>
          <w:sz w:val="21"/>
          <w:szCs w:val="21"/>
        </w:rPr>
        <w:t>（1）中标人须保持与采购人的联系，随时交流维保情况，成立专门工作小组为采购人解决遇到的问题。</w:t>
      </w:r>
    </w:p>
    <w:p>
      <w:pPr>
        <w:spacing w:line="440" w:lineRule="exact"/>
        <w:ind w:firstLine="465"/>
        <w:rPr>
          <w:sz w:val="21"/>
          <w:szCs w:val="21"/>
        </w:rPr>
      </w:pPr>
      <w:r>
        <w:rPr>
          <w:rFonts w:hint="eastAsia"/>
          <w:sz w:val="21"/>
          <w:szCs w:val="21"/>
        </w:rPr>
        <w:t>（2）严格按照设备的维修保养规范进行修复，保质保量。</w:t>
      </w:r>
    </w:p>
    <w:p>
      <w:pPr>
        <w:spacing w:line="440" w:lineRule="exact"/>
        <w:ind w:firstLine="465"/>
        <w:rPr>
          <w:sz w:val="21"/>
          <w:szCs w:val="21"/>
        </w:rPr>
      </w:pPr>
      <w:r>
        <w:rPr>
          <w:rFonts w:hint="eastAsia"/>
          <w:sz w:val="21"/>
          <w:szCs w:val="21"/>
        </w:rPr>
        <w:t>7、培训要求：</w:t>
      </w:r>
    </w:p>
    <w:p>
      <w:pPr>
        <w:spacing w:line="440" w:lineRule="exact"/>
        <w:ind w:firstLine="465"/>
        <w:rPr>
          <w:sz w:val="21"/>
          <w:szCs w:val="21"/>
        </w:rPr>
      </w:pPr>
      <w:r>
        <w:rPr>
          <w:rFonts w:hint="eastAsia"/>
          <w:sz w:val="21"/>
          <w:szCs w:val="21"/>
        </w:rPr>
        <w:t>（1）每季度至少提供一次培训，制定详细的培训方案，提供技术培训、操作培训和现场指导，完成对本服务项目内的所有系统软硬件的免费培训。培训方案要详细描述每次培训的具体内容、深度和时间安排。</w:t>
      </w:r>
    </w:p>
    <w:p>
      <w:pPr>
        <w:spacing w:line="440" w:lineRule="exact"/>
        <w:ind w:firstLine="465"/>
        <w:rPr>
          <w:sz w:val="21"/>
          <w:szCs w:val="21"/>
        </w:rPr>
      </w:pPr>
      <w:r>
        <w:rPr>
          <w:rFonts w:hint="eastAsia"/>
          <w:sz w:val="21"/>
          <w:szCs w:val="21"/>
        </w:rPr>
        <w:t>（2）培训方式应包括技术讲课、操作示范、参观学习和其它必须的业务指导和技术咨询，确保采购人受训人员对系统基本原理、技术特性、操作规范、运行规程、管理维护等方面获得全面了解和掌握。</w:t>
      </w:r>
    </w:p>
    <w:sectPr>
      <w:headerReference r:id="rId3" w:type="first"/>
      <w:pgSz w:w="11906" w:h="16838"/>
      <w:pgMar w:top="1021" w:right="1418" w:bottom="737" w:left="1418" w:header="1021" w:footer="737"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ì.">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right" w:pos="9000"/>
        <w:tab w:val="clear" w:pos="8306"/>
      </w:tabs>
      <w:ind w:right="-94" w:rightChars="-39" w:firstLine="90" w:firstLineChars="5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5D3D"/>
    <w:rsid w:val="000031AD"/>
    <w:rsid w:val="00004070"/>
    <w:rsid w:val="000040B3"/>
    <w:rsid w:val="00004191"/>
    <w:rsid w:val="00005670"/>
    <w:rsid w:val="000064D9"/>
    <w:rsid w:val="000073C3"/>
    <w:rsid w:val="0001102F"/>
    <w:rsid w:val="0001618E"/>
    <w:rsid w:val="000162A1"/>
    <w:rsid w:val="0001755D"/>
    <w:rsid w:val="00017B7D"/>
    <w:rsid w:val="000234E8"/>
    <w:rsid w:val="00026105"/>
    <w:rsid w:val="00030786"/>
    <w:rsid w:val="0003117F"/>
    <w:rsid w:val="00032B93"/>
    <w:rsid w:val="000352AE"/>
    <w:rsid w:val="00036D7C"/>
    <w:rsid w:val="00037ADC"/>
    <w:rsid w:val="00037D87"/>
    <w:rsid w:val="000422B6"/>
    <w:rsid w:val="000436F9"/>
    <w:rsid w:val="000440E9"/>
    <w:rsid w:val="000448EF"/>
    <w:rsid w:val="00045C44"/>
    <w:rsid w:val="00046119"/>
    <w:rsid w:val="000474B0"/>
    <w:rsid w:val="00051054"/>
    <w:rsid w:val="00051E12"/>
    <w:rsid w:val="00052EF7"/>
    <w:rsid w:val="00056A30"/>
    <w:rsid w:val="00057935"/>
    <w:rsid w:val="00057E12"/>
    <w:rsid w:val="00057E25"/>
    <w:rsid w:val="000648E6"/>
    <w:rsid w:val="00070DDA"/>
    <w:rsid w:val="00072599"/>
    <w:rsid w:val="00072D4A"/>
    <w:rsid w:val="00073560"/>
    <w:rsid w:val="00075A37"/>
    <w:rsid w:val="00075E56"/>
    <w:rsid w:val="000827A1"/>
    <w:rsid w:val="00084433"/>
    <w:rsid w:val="00085032"/>
    <w:rsid w:val="00085495"/>
    <w:rsid w:val="000922D2"/>
    <w:rsid w:val="00092B60"/>
    <w:rsid w:val="0009390C"/>
    <w:rsid w:val="00094310"/>
    <w:rsid w:val="0009760D"/>
    <w:rsid w:val="00097D99"/>
    <w:rsid w:val="00097FD4"/>
    <w:rsid w:val="000A06B7"/>
    <w:rsid w:val="000A2C4D"/>
    <w:rsid w:val="000A4512"/>
    <w:rsid w:val="000A5FA4"/>
    <w:rsid w:val="000A6026"/>
    <w:rsid w:val="000A63D3"/>
    <w:rsid w:val="000B0405"/>
    <w:rsid w:val="000B0D5B"/>
    <w:rsid w:val="000B1F6C"/>
    <w:rsid w:val="000B3E7A"/>
    <w:rsid w:val="000B4831"/>
    <w:rsid w:val="000B55F3"/>
    <w:rsid w:val="000B6BB3"/>
    <w:rsid w:val="000B6C80"/>
    <w:rsid w:val="000B6C8A"/>
    <w:rsid w:val="000B76C1"/>
    <w:rsid w:val="000B7EA3"/>
    <w:rsid w:val="000C10E2"/>
    <w:rsid w:val="000C308B"/>
    <w:rsid w:val="000C4445"/>
    <w:rsid w:val="000C6579"/>
    <w:rsid w:val="000D007B"/>
    <w:rsid w:val="000D296C"/>
    <w:rsid w:val="000D5820"/>
    <w:rsid w:val="000D6EC8"/>
    <w:rsid w:val="000D7599"/>
    <w:rsid w:val="000D7956"/>
    <w:rsid w:val="000D7A58"/>
    <w:rsid w:val="000E01A1"/>
    <w:rsid w:val="000E2562"/>
    <w:rsid w:val="000E2D62"/>
    <w:rsid w:val="000E3863"/>
    <w:rsid w:val="000E3ACA"/>
    <w:rsid w:val="000E3B78"/>
    <w:rsid w:val="000E44AC"/>
    <w:rsid w:val="000E4C03"/>
    <w:rsid w:val="000E5697"/>
    <w:rsid w:val="000E6ACD"/>
    <w:rsid w:val="000E758E"/>
    <w:rsid w:val="000E7792"/>
    <w:rsid w:val="000F3023"/>
    <w:rsid w:val="000F4449"/>
    <w:rsid w:val="000F59BF"/>
    <w:rsid w:val="000F6245"/>
    <w:rsid w:val="000F7635"/>
    <w:rsid w:val="00100398"/>
    <w:rsid w:val="001008AA"/>
    <w:rsid w:val="00101F41"/>
    <w:rsid w:val="0010220E"/>
    <w:rsid w:val="0010224D"/>
    <w:rsid w:val="00103C65"/>
    <w:rsid w:val="00104D5F"/>
    <w:rsid w:val="00104F4C"/>
    <w:rsid w:val="00105438"/>
    <w:rsid w:val="001101C2"/>
    <w:rsid w:val="00110E27"/>
    <w:rsid w:val="00112C2B"/>
    <w:rsid w:val="001136C3"/>
    <w:rsid w:val="00114454"/>
    <w:rsid w:val="001147C0"/>
    <w:rsid w:val="00114EAD"/>
    <w:rsid w:val="00115611"/>
    <w:rsid w:val="00117B83"/>
    <w:rsid w:val="00120063"/>
    <w:rsid w:val="00123666"/>
    <w:rsid w:val="00124616"/>
    <w:rsid w:val="001272BD"/>
    <w:rsid w:val="001272D8"/>
    <w:rsid w:val="00130076"/>
    <w:rsid w:val="001311D6"/>
    <w:rsid w:val="00131495"/>
    <w:rsid w:val="001318DA"/>
    <w:rsid w:val="00131F7C"/>
    <w:rsid w:val="001328A3"/>
    <w:rsid w:val="001337FD"/>
    <w:rsid w:val="00133ADE"/>
    <w:rsid w:val="001346AE"/>
    <w:rsid w:val="001350E2"/>
    <w:rsid w:val="00136513"/>
    <w:rsid w:val="001366BB"/>
    <w:rsid w:val="001367B3"/>
    <w:rsid w:val="00136C9F"/>
    <w:rsid w:val="001403CE"/>
    <w:rsid w:val="001422B9"/>
    <w:rsid w:val="00144D0D"/>
    <w:rsid w:val="00145B3E"/>
    <w:rsid w:val="00145CC4"/>
    <w:rsid w:val="00147A9B"/>
    <w:rsid w:val="00147D68"/>
    <w:rsid w:val="00151168"/>
    <w:rsid w:val="00151377"/>
    <w:rsid w:val="00151624"/>
    <w:rsid w:val="001516D8"/>
    <w:rsid w:val="00152015"/>
    <w:rsid w:val="001534F1"/>
    <w:rsid w:val="0015409E"/>
    <w:rsid w:val="00154650"/>
    <w:rsid w:val="00155A99"/>
    <w:rsid w:val="001563C7"/>
    <w:rsid w:val="00156C0B"/>
    <w:rsid w:val="001574A5"/>
    <w:rsid w:val="0015777B"/>
    <w:rsid w:val="00157973"/>
    <w:rsid w:val="001603F8"/>
    <w:rsid w:val="00160A9B"/>
    <w:rsid w:val="00160CE0"/>
    <w:rsid w:val="00163343"/>
    <w:rsid w:val="00163BE5"/>
    <w:rsid w:val="00166393"/>
    <w:rsid w:val="00167C98"/>
    <w:rsid w:val="00170107"/>
    <w:rsid w:val="001702B1"/>
    <w:rsid w:val="00171603"/>
    <w:rsid w:val="001757B5"/>
    <w:rsid w:val="00180068"/>
    <w:rsid w:val="0018167C"/>
    <w:rsid w:val="001818B8"/>
    <w:rsid w:val="0018573A"/>
    <w:rsid w:val="001863D4"/>
    <w:rsid w:val="00190AD4"/>
    <w:rsid w:val="00192BA5"/>
    <w:rsid w:val="00195C60"/>
    <w:rsid w:val="00197A1B"/>
    <w:rsid w:val="001A038C"/>
    <w:rsid w:val="001A119E"/>
    <w:rsid w:val="001A641B"/>
    <w:rsid w:val="001B0C11"/>
    <w:rsid w:val="001B14B9"/>
    <w:rsid w:val="001B22F6"/>
    <w:rsid w:val="001B2551"/>
    <w:rsid w:val="001B2973"/>
    <w:rsid w:val="001B434E"/>
    <w:rsid w:val="001B6BAC"/>
    <w:rsid w:val="001C4137"/>
    <w:rsid w:val="001C41B7"/>
    <w:rsid w:val="001C43AC"/>
    <w:rsid w:val="001C4547"/>
    <w:rsid w:val="001C4679"/>
    <w:rsid w:val="001C4A74"/>
    <w:rsid w:val="001C65D3"/>
    <w:rsid w:val="001C6BBA"/>
    <w:rsid w:val="001C77EA"/>
    <w:rsid w:val="001D07A4"/>
    <w:rsid w:val="001D0B33"/>
    <w:rsid w:val="001D2496"/>
    <w:rsid w:val="001D5142"/>
    <w:rsid w:val="001D6300"/>
    <w:rsid w:val="001D6BDE"/>
    <w:rsid w:val="001D77F4"/>
    <w:rsid w:val="001D7AF9"/>
    <w:rsid w:val="001E1A47"/>
    <w:rsid w:val="001E333A"/>
    <w:rsid w:val="001E380C"/>
    <w:rsid w:val="001E4DDF"/>
    <w:rsid w:val="001E5C34"/>
    <w:rsid w:val="001E614E"/>
    <w:rsid w:val="001E6188"/>
    <w:rsid w:val="001E628A"/>
    <w:rsid w:val="001E62FA"/>
    <w:rsid w:val="001E6C95"/>
    <w:rsid w:val="001E76A3"/>
    <w:rsid w:val="001E7CA3"/>
    <w:rsid w:val="001F0D0C"/>
    <w:rsid w:val="001F3CBC"/>
    <w:rsid w:val="001F3DE3"/>
    <w:rsid w:val="001F545E"/>
    <w:rsid w:val="0020107F"/>
    <w:rsid w:val="00201705"/>
    <w:rsid w:val="00201F53"/>
    <w:rsid w:val="00201F95"/>
    <w:rsid w:val="002026AF"/>
    <w:rsid w:val="00203DCF"/>
    <w:rsid w:val="00204BDA"/>
    <w:rsid w:val="00204F34"/>
    <w:rsid w:val="00206E70"/>
    <w:rsid w:val="00207615"/>
    <w:rsid w:val="00207FBE"/>
    <w:rsid w:val="00211CD7"/>
    <w:rsid w:val="00212DE3"/>
    <w:rsid w:val="00212E09"/>
    <w:rsid w:val="00212E57"/>
    <w:rsid w:val="00215202"/>
    <w:rsid w:val="0021589E"/>
    <w:rsid w:val="00215BE3"/>
    <w:rsid w:val="00216B27"/>
    <w:rsid w:val="00216F3D"/>
    <w:rsid w:val="0022075C"/>
    <w:rsid w:val="0022149D"/>
    <w:rsid w:val="002214C3"/>
    <w:rsid w:val="002239E7"/>
    <w:rsid w:val="0022646B"/>
    <w:rsid w:val="002303FA"/>
    <w:rsid w:val="002343E0"/>
    <w:rsid w:val="00235B90"/>
    <w:rsid w:val="00236DA5"/>
    <w:rsid w:val="0024123B"/>
    <w:rsid w:val="0024159E"/>
    <w:rsid w:val="00242F7A"/>
    <w:rsid w:val="0024370F"/>
    <w:rsid w:val="002462A4"/>
    <w:rsid w:val="00250506"/>
    <w:rsid w:val="00251743"/>
    <w:rsid w:val="002518EC"/>
    <w:rsid w:val="00252B4E"/>
    <w:rsid w:val="00252CB6"/>
    <w:rsid w:val="00255092"/>
    <w:rsid w:val="00257F81"/>
    <w:rsid w:val="00260A84"/>
    <w:rsid w:val="00260DB3"/>
    <w:rsid w:val="00263E09"/>
    <w:rsid w:val="0026436C"/>
    <w:rsid w:val="002645A0"/>
    <w:rsid w:val="00264905"/>
    <w:rsid w:val="00265BD2"/>
    <w:rsid w:val="002666C9"/>
    <w:rsid w:val="00266D26"/>
    <w:rsid w:val="0026750E"/>
    <w:rsid w:val="00267AA1"/>
    <w:rsid w:val="00267E48"/>
    <w:rsid w:val="00267F7F"/>
    <w:rsid w:val="0027426C"/>
    <w:rsid w:val="00274BD2"/>
    <w:rsid w:val="00275595"/>
    <w:rsid w:val="00275CA5"/>
    <w:rsid w:val="00277149"/>
    <w:rsid w:val="002801C5"/>
    <w:rsid w:val="00280229"/>
    <w:rsid w:val="0028175C"/>
    <w:rsid w:val="002827A2"/>
    <w:rsid w:val="00284BA7"/>
    <w:rsid w:val="00286824"/>
    <w:rsid w:val="002868F0"/>
    <w:rsid w:val="00286D51"/>
    <w:rsid w:val="00286E3F"/>
    <w:rsid w:val="002876E1"/>
    <w:rsid w:val="00287974"/>
    <w:rsid w:val="00290E44"/>
    <w:rsid w:val="002912EC"/>
    <w:rsid w:val="0029434A"/>
    <w:rsid w:val="002947A6"/>
    <w:rsid w:val="002955E9"/>
    <w:rsid w:val="0029667E"/>
    <w:rsid w:val="00296750"/>
    <w:rsid w:val="00297567"/>
    <w:rsid w:val="002A006B"/>
    <w:rsid w:val="002A0709"/>
    <w:rsid w:val="002A0C00"/>
    <w:rsid w:val="002A172E"/>
    <w:rsid w:val="002A4090"/>
    <w:rsid w:val="002B32D6"/>
    <w:rsid w:val="002B378D"/>
    <w:rsid w:val="002B3F91"/>
    <w:rsid w:val="002B4EB6"/>
    <w:rsid w:val="002B5764"/>
    <w:rsid w:val="002B6488"/>
    <w:rsid w:val="002B6CAB"/>
    <w:rsid w:val="002B7DE8"/>
    <w:rsid w:val="002C06C6"/>
    <w:rsid w:val="002C23C1"/>
    <w:rsid w:val="002C2776"/>
    <w:rsid w:val="002C6242"/>
    <w:rsid w:val="002C76B8"/>
    <w:rsid w:val="002D0E9D"/>
    <w:rsid w:val="002D1497"/>
    <w:rsid w:val="002D3CAD"/>
    <w:rsid w:val="002D3FA4"/>
    <w:rsid w:val="002D4B8E"/>
    <w:rsid w:val="002D5EF8"/>
    <w:rsid w:val="002D615C"/>
    <w:rsid w:val="002D65FE"/>
    <w:rsid w:val="002D69C2"/>
    <w:rsid w:val="002E115A"/>
    <w:rsid w:val="002E118D"/>
    <w:rsid w:val="002E1386"/>
    <w:rsid w:val="002E22AE"/>
    <w:rsid w:val="002E2B44"/>
    <w:rsid w:val="002E3445"/>
    <w:rsid w:val="002E34DC"/>
    <w:rsid w:val="002E5AC0"/>
    <w:rsid w:val="002F00F8"/>
    <w:rsid w:val="002F020D"/>
    <w:rsid w:val="002F15F8"/>
    <w:rsid w:val="002F1B3F"/>
    <w:rsid w:val="002F20BF"/>
    <w:rsid w:val="002F2D0C"/>
    <w:rsid w:val="002F4382"/>
    <w:rsid w:val="002F4695"/>
    <w:rsid w:val="002F47F7"/>
    <w:rsid w:val="00300321"/>
    <w:rsid w:val="00300415"/>
    <w:rsid w:val="0030043F"/>
    <w:rsid w:val="00301B22"/>
    <w:rsid w:val="00305862"/>
    <w:rsid w:val="00305DF8"/>
    <w:rsid w:val="00305E7B"/>
    <w:rsid w:val="00306031"/>
    <w:rsid w:val="00306CCF"/>
    <w:rsid w:val="00306E4E"/>
    <w:rsid w:val="003075E1"/>
    <w:rsid w:val="0031053C"/>
    <w:rsid w:val="003110C1"/>
    <w:rsid w:val="00311160"/>
    <w:rsid w:val="003116B6"/>
    <w:rsid w:val="00311A50"/>
    <w:rsid w:val="00314A66"/>
    <w:rsid w:val="003152ED"/>
    <w:rsid w:val="0031557D"/>
    <w:rsid w:val="00315981"/>
    <w:rsid w:val="00317290"/>
    <w:rsid w:val="00320D19"/>
    <w:rsid w:val="00321376"/>
    <w:rsid w:val="0032191B"/>
    <w:rsid w:val="00323B48"/>
    <w:rsid w:val="003242EE"/>
    <w:rsid w:val="0032580F"/>
    <w:rsid w:val="00325CE8"/>
    <w:rsid w:val="00325EB3"/>
    <w:rsid w:val="003261E3"/>
    <w:rsid w:val="0032676A"/>
    <w:rsid w:val="003325E4"/>
    <w:rsid w:val="00332961"/>
    <w:rsid w:val="00332A38"/>
    <w:rsid w:val="00332CFE"/>
    <w:rsid w:val="00335E0D"/>
    <w:rsid w:val="00336A95"/>
    <w:rsid w:val="00337FC9"/>
    <w:rsid w:val="00340F87"/>
    <w:rsid w:val="0034161E"/>
    <w:rsid w:val="00343BDD"/>
    <w:rsid w:val="00346DD8"/>
    <w:rsid w:val="003475C6"/>
    <w:rsid w:val="003501A6"/>
    <w:rsid w:val="00350AEE"/>
    <w:rsid w:val="0035122C"/>
    <w:rsid w:val="00351B72"/>
    <w:rsid w:val="003521CC"/>
    <w:rsid w:val="00354EB6"/>
    <w:rsid w:val="003579BC"/>
    <w:rsid w:val="00357A5F"/>
    <w:rsid w:val="00360A84"/>
    <w:rsid w:val="00360B23"/>
    <w:rsid w:val="003617FE"/>
    <w:rsid w:val="00362299"/>
    <w:rsid w:val="003632F8"/>
    <w:rsid w:val="003640B0"/>
    <w:rsid w:val="003640B5"/>
    <w:rsid w:val="003643FC"/>
    <w:rsid w:val="00365D37"/>
    <w:rsid w:val="00367EC3"/>
    <w:rsid w:val="00370FB4"/>
    <w:rsid w:val="00371E9F"/>
    <w:rsid w:val="00374600"/>
    <w:rsid w:val="0037513F"/>
    <w:rsid w:val="00375CF1"/>
    <w:rsid w:val="00375EF1"/>
    <w:rsid w:val="0037623B"/>
    <w:rsid w:val="003771E0"/>
    <w:rsid w:val="003772E6"/>
    <w:rsid w:val="0038022F"/>
    <w:rsid w:val="003846A4"/>
    <w:rsid w:val="00386063"/>
    <w:rsid w:val="00386B87"/>
    <w:rsid w:val="003873F9"/>
    <w:rsid w:val="00387A28"/>
    <w:rsid w:val="00387EE9"/>
    <w:rsid w:val="00390B25"/>
    <w:rsid w:val="00390DA2"/>
    <w:rsid w:val="00394349"/>
    <w:rsid w:val="003965E6"/>
    <w:rsid w:val="00397D68"/>
    <w:rsid w:val="003A13A2"/>
    <w:rsid w:val="003A184C"/>
    <w:rsid w:val="003A21E5"/>
    <w:rsid w:val="003A419B"/>
    <w:rsid w:val="003A425E"/>
    <w:rsid w:val="003A4D11"/>
    <w:rsid w:val="003A567E"/>
    <w:rsid w:val="003A57C6"/>
    <w:rsid w:val="003A6619"/>
    <w:rsid w:val="003B073F"/>
    <w:rsid w:val="003B0CFC"/>
    <w:rsid w:val="003B117B"/>
    <w:rsid w:val="003B1993"/>
    <w:rsid w:val="003C0CE1"/>
    <w:rsid w:val="003C170B"/>
    <w:rsid w:val="003C1D53"/>
    <w:rsid w:val="003C2E39"/>
    <w:rsid w:val="003C4955"/>
    <w:rsid w:val="003C512E"/>
    <w:rsid w:val="003C555A"/>
    <w:rsid w:val="003C6FF3"/>
    <w:rsid w:val="003D0ADF"/>
    <w:rsid w:val="003D0CE4"/>
    <w:rsid w:val="003D1F23"/>
    <w:rsid w:val="003D1FF2"/>
    <w:rsid w:val="003D313D"/>
    <w:rsid w:val="003D4C70"/>
    <w:rsid w:val="003D5164"/>
    <w:rsid w:val="003D53F4"/>
    <w:rsid w:val="003E01A3"/>
    <w:rsid w:val="003E0FCB"/>
    <w:rsid w:val="003E2D6D"/>
    <w:rsid w:val="003E3819"/>
    <w:rsid w:val="003E3921"/>
    <w:rsid w:val="003E3A2E"/>
    <w:rsid w:val="003E46C3"/>
    <w:rsid w:val="003E5AA2"/>
    <w:rsid w:val="003E6697"/>
    <w:rsid w:val="003E69FE"/>
    <w:rsid w:val="003E7557"/>
    <w:rsid w:val="003F0AB8"/>
    <w:rsid w:val="003F3D7B"/>
    <w:rsid w:val="003F4267"/>
    <w:rsid w:val="003F6745"/>
    <w:rsid w:val="003F7356"/>
    <w:rsid w:val="004031B7"/>
    <w:rsid w:val="00403D9B"/>
    <w:rsid w:val="00404124"/>
    <w:rsid w:val="004049F7"/>
    <w:rsid w:val="00405DDA"/>
    <w:rsid w:val="004106DE"/>
    <w:rsid w:val="0041111F"/>
    <w:rsid w:val="0041174C"/>
    <w:rsid w:val="00411E55"/>
    <w:rsid w:val="00412A04"/>
    <w:rsid w:val="0041313A"/>
    <w:rsid w:val="00415A8A"/>
    <w:rsid w:val="004205D5"/>
    <w:rsid w:val="0042193C"/>
    <w:rsid w:val="00423EFA"/>
    <w:rsid w:val="004248E5"/>
    <w:rsid w:val="00425E37"/>
    <w:rsid w:val="00425EF6"/>
    <w:rsid w:val="00426C46"/>
    <w:rsid w:val="004275F2"/>
    <w:rsid w:val="004318B7"/>
    <w:rsid w:val="00431F69"/>
    <w:rsid w:val="00432084"/>
    <w:rsid w:val="00433477"/>
    <w:rsid w:val="0043360B"/>
    <w:rsid w:val="004337E9"/>
    <w:rsid w:val="00433A0C"/>
    <w:rsid w:val="00433A57"/>
    <w:rsid w:val="004377ED"/>
    <w:rsid w:val="004424B0"/>
    <w:rsid w:val="00443473"/>
    <w:rsid w:val="0044369D"/>
    <w:rsid w:val="0044496A"/>
    <w:rsid w:val="0044526A"/>
    <w:rsid w:val="004465B4"/>
    <w:rsid w:val="00446982"/>
    <w:rsid w:val="004469F2"/>
    <w:rsid w:val="0045043B"/>
    <w:rsid w:val="0045376E"/>
    <w:rsid w:val="00453AAA"/>
    <w:rsid w:val="00454D37"/>
    <w:rsid w:val="00455BB1"/>
    <w:rsid w:val="0045622E"/>
    <w:rsid w:val="00456CD2"/>
    <w:rsid w:val="00457766"/>
    <w:rsid w:val="00457EAC"/>
    <w:rsid w:val="00462C98"/>
    <w:rsid w:val="00463222"/>
    <w:rsid w:val="00463A91"/>
    <w:rsid w:val="00466F32"/>
    <w:rsid w:val="00467DB4"/>
    <w:rsid w:val="00470119"/>
    <w:rsid w:val="00470170"/>
    <w:rsid w:val="004706BD"/>
    <w:rsid w:val="004711A3"/>
    <w:rsid w:val="00471D85"/>
    <w:rsid w:val="00473482"/>
    <w:rsid w:val="00476420"/>
    <w:rsid w:val="004765A3"/>
    <w:rsid w:val="00480E8E"/>
    <w:rsid w:val="004821C0"/>
    <w:rsid w:val="00482AE8"/>
    <w:rsid w:val="00483806"/>
    <w:rsid w:val="004852F7"/>
    <w:rsid w:val="00486FC0"/>
    <w:rsid w:val="0049359D"/>
    <w:rsid w:val="00493E5F"/>
    <w:rsid w:val="00493F2A"/>
    <w:rsid w:val="00494B14"/>
    <w:rsid w:val="0049673C"/>
    <w:rsid w:val="00497921"/>
    <w:rsid w:val="004A07D2"/>
    <w:rsid w:val="004A2DF6"/>
    <w:rsid w:val="004A3705"/>
    <w:rsid w:val="004A420E"/>
    <w:rsid w:val="004A5321"/>
    <w:rsid w:val="004A6059"/>
    <w:rsid w:val="004A7358"/>
    <w:rsid w:val="004A7954"/>
    <w:rsid w:val="004A7C56"/>
    <w:rsid w:val="004B2829"/>
    <w:rsid w:val="004B3AC7"/>
    <w:rsid w:val="004B436C"/>
    <w:rsid w:val="004B507A"/>
    <w:rsid w:val="004B5B3B"/>
    <w:rsid w:val="004B7AB4"/>
    <w:rsid w:val="004C1FB0"/>
    <w:rsid w:val="004C299B"/>
    <w:rsid w:val="004C5593"/>
    <w:rsid w:val="004C58D0"/>
    <w:rsid w:val="004C5CE0"/>
    <w:rsid w:val="004C65B2"/>
    <w:rsid w:val="004D0991"/>
    <w:rsid w:val="004D205B"/>
    <w:rsid w:val="004D289F"/>
    <w:rsid w:val="004D4690"/>
    <w:rsid w:val="004D5C21"/>
    <w:rsid w:val="004E0E9B"/>
    <w:rsid w:val="004E3B60"/>
    <w:rsid w:val="004E420A"/>
    <w:rsid w:val="004E5F0E"/>
    <w:rsid w:val="004F3D1E"/>
    <w:rsid w:val="004F4690"/>
    <w:rsid w:val="004F4D93"/>
    <w:rsid w:val="004F5FF0"/>
    <w:rsid w:val="004F6514"/>
    <w:rsid w:val="0050019D"/>
    <w:rsid w:val="00500671"/>
    <w:rsid w:val="00500718"/>
    <w:rsid w:val="00501A6C"/>
    <w:rsid w:val="00501AE7"/>
    <w:rsid w:val="00501FEA"/>
    <w:rsid w:val="00504333"/>
    <w:rsid w:val="00506416"/>
    <w:rsid w:val="005112D5"/>
    <w:rsid w:val="00512253"/>
    <w:rsid w:val="00512695"/>
    <w:rsid w:val="00514497"/>
    <w:rsid w:val="00516747"/>
    <w:rsid w:val="00517FA4"/>
    <w:rsid w:val="00520438"/>
    <w:rsid w:val="00521321"/>
    <w:rsid w:val="005220A7"/>
    <w:rsid w:val="0052573C"/>
    <w:rsid w:val="00525D83"/>
    <w:rsid w:val="0053011F"/>
    <w:rsid w:val="00530138"/>
    <w:rsid w:val="00530C45"/>
    <w:rsid w:val="00530DA3"/>
    <w:rsid w:val="005312FA"/>
    <w:rsid w:val="0053193C"/>
    <w:rsid w:val="00532512"/>
    <w:rsid w:val="005328F5"/>
    <w:rsid w:val="00533624"/>
    <w:rsid w:val="0053408A"/>
    <w:rsid w:val="005343BB"/>
    <w:rsid w:val="00534A44"/>
    <w:rsid w:val="00534E39"/>
    <w:rsid w:val="00540876"/>
    <w:rsid w:val="00541532"/>
    <w:rsid w:val="00543C8F"/>
    <w:rsid w:val="005447FB"/>
    <w:rsid w:val="00545459"/>
    <w:rsid w:val="00545815"/>
    <w:rsid w:val="00551002"/>
    <w:rsid w:val="00551A90"/>
    <w:rsid w:val="0055355D"/>
    <w:rsid w:val="0055549C"/>
    <w:rsid w:val="005560EC"/>
    <w:rsid w:val="00556514"/>
    <w:rsid w:val="00556E31"/>
    <w:rsid w:val="00556F0B"/>
    <w:rsid w:val="00561A1C"/>
    <w:rsid w:val="0056443B"/>
    <w:rsid w:val="00567F98"/>
    <w:rsid w:val="00570199"/>
    <w:rsid w:val="00570D6B"/>
    <w:rsid w:val="00572CBD"/>
    <w:rsid w:val="005731E6"/>
    <w:rsid w:val="005732D6"/>
    <w:rsid w:val="00573FCF"/>
    <w:rsid w:val="00574169"/>
    <w:rsid w:val="00576A1A"/>
    <w:rsid w:val="00577E55"/>
    <w:rsid w:val="00582A2D"/>
    <w:rsid w:val="00584657"/>
    <w:rsid w:val="0058691A"/>
    <w:rsid w:val="00587C29"/>
    <w:rsid w:val="00590854"/>
    <w:rsid w:val="00590A70"/>
    <w:rsid w:val="005918B5"/>
    <w:rsid w:val="00591A83"/>
    <w:rsid w:val="00592329"/>
    <w:rsid w:val="00595EE1"/>
    <w:rsid w:val="00596125"/>
    <w:rsid w:val="005A05C5"/>
    <w:rsid w:val="005A07A1"/>
    <w:rsid w:val="005A26B3"/>
    <w:rsid w:val="005A44F2"/>
    <w:rsid w:val="005A466C"/>
    <w:rsid w:val="005A744E"/>
    <w:rsid w:val="005B10E5"/>
    <w:rsid w:val="005B25BE"/>
    <w:rsid w:val="005B2E27"/>
    <w:rsid w:val="005B3D1A"/>
    <w:rsid w:val="005B5E04"/>
    <w:rsid w:val="005C2C79"/>
    <w:rsid w:val="005C2DD4"/>
    <w:rsid w:val="005C2E85"/>
    <w:rsid w:val="005C3697"/>
    <w:rsid w:val="005C4EAE"/>
    <w:rsid w:val="005C6E94"/>
    <w:rsid w:val="005C78D2"/>
    <w:rsid w:val="005D01D2"/>
    <w:rsid w:val="005D229A"/>
    <w:rsid w:val="005D25DB"/>
    <w:rsid w:val="005D2F9A"/>
    <w:rsid w:val="005D43FA"/>
    <w:rsid w:val="005D4C85"/>
    <w:rsid w:val="005D522B"/>
    <w:rsid w:val="005D5635"/>
    <w:rsid w:val="005D5B5E"/>
    <w:rsid w:val="005E024E"/>
    <w:rsid w:val="005E1E81"/>
    <w:rsid w:val="005E2009"/>
    <w:rsid w:val="005E2212"/>
    <w:rsid w:val="005E24A4"/>
    <w:rsid w:val="005E32B3"/>
    <w:rsid w:val="005E391C"/>
    <w:rsid w:val="005E477E"/>
    <w:rsid w:val="005E60FF"/>
    <w:rsid w:val="005F350B"/>
    <w:rsid w:val="005F46B7"/>
    <w:rsid w:val="005F4C46"/>
    <w:rsid w:val="005F6389"/>
    <w:rsid w:val="005F70AF"/>
    <w:rsid w:val="0060186B"/>
    <w:rsid w:val="0060240A"/>
    <w:rsid w:val="00602ABF"/>
    <w:rsid w:val="00603384"/>
    <w:rsid w:val="00604E3C"/>
    <w:rsid w:val="006065EC"/>
    <w:rsid w:val="00606654"/>
    <w:rsid w:val="0060691B"/>
    <w:rsid w:val="006072A0"/>
    <w:rsid w:val="00607F28"/>
    <w:rsid w:val="00611337"/>
    <w:rsid w:val="00611982"/>
    <w:rsid w:val="0061419B"/>
    <w:rsid w:val="00614624"/>
    <w:rsid w:val="00614B9F"/>
    <w:rsid w:val="00615B5E"/>
    <w:rsid w:val="00615F77"/>
    <w:rsid w:val="00616680"/>
    <w:rsid w:val="00616F6D"/>
    <w:rsid w:val="00617927"/>
    <w:rsid w:val="00617952"/>
    <w:rsid w:val="00617B72"/>
    <w:rsid w:val="00620715"/>
    <w:rsid w:val="00621589"/>
    <w:rsid w:val="00625589"/>
    <w:rsid w:val="00625AFB"/>
    <w:rsid w:val="00626609"/>
    <w:rsid w:val="00626F1C"/>
    <w:rsid w:val="006315D3"/>
    <w:rsid w:val="0063181E"/>
    <w:rsid w:val="00632193"/>
    <w:rsid w:val="00634E7A"/>
    <w:rsid w:val="00635479"/>
    <w:rsid w:val="00635578"/>
    <w:rsid w:val="00635E05"/>
    <w:rsid w:val="00636DA6"/>
    <w:rsid w:val="00641DB2"/>
    <w:rsid w:val="00642B42"/>
    <w:rsid w:val="006455EA"/>
    <w:rsid w:val="00646AA1"/>
    <w:rsid w:val="00646D20"/>
    <w:rsid w:val="00651DBC"/>
    <w:rsid w:val="00652A97"/>
    <w:rsid w:val="0065375F"/>
    <w:rsid w:val="006537C8"/>
    <w:rsid w:val="00654C42"/>
    <w:rsid w:val="006561BF"/>
    <w:rsid w:val="00656C5E"/>
    <w:rsid w:val="00660B7C"/>
    <w:rsid w:val="006623AF"/>
    <w:rsid w:val="00662D0C"/>
    <w:rsid w:val="0066306C"/>
    <w:rsid w:val="00663EEF"/>
    <w:rsid w:val="00664996"/>
    <w:rsid w:val="00664FF9"/>
    <w:rsid w:val="006665F2"/>
    <w:rsid w:val="00671A90"/>
    <w:rsid w:val="00671FBB"/>
    <w:rsid w:val="00674E54"/>
    <w:rsid w:val="006751C4"/>
    <w:rsid w:val="006756C1"/>
    <w:rsid w:val="00677564"/>
    <w:rsid w:val="00677FD1"/>
    <w:rsid w:val="00680D59"/>
    <w:rsid w:val="006814AF"/>
    <w:rsid w:val="00682AC9"/>
    <w:rsid w:val="006839AD"/>
    <w:rsid w:val="00684675"/>
    <w:rsid w:val="00685387"/>
    <w:rsid w:val="006856EA"/>
    <w:rsid w:val="006867D3"/>
    <w:rsid w:val="00687650"/>
    <w:rsid w:val="00687A1D"/>
    <w:rsid w:val="0069022A"/>
    <w:rsid w:val="006904B0"/>
    <w:rsid w:val="00691EDB"/>
    <w:rsid w:val="00692AA5"/>
    <w:rsid w:val="0069327B"/>
    <w:rsid w:val="00694431"/>
    <w:rsid w:val="00695068"/>
    <w:rsid w:val="006951A2"/>
    <w:rsid w:val="00696166"/>
    <w:rsid w:val="006A0629"/>
    <w:rsid w:val="006A1F2A"/>
    <w:rsid w:val="006A38C7"/>
    <w:rsid w:val="006A3DEC"/>
    <w:rsid w:val="006A5C10"/>
    <w:rsid w:val="006A5F4F"/>
    <w:rsid w:val="006A6904"/>
    <w:rsid w:val="006A73F4"/>
    <w:rsid w:val="006B0383"/>
    <w:rsid w:val="006B0653"/>
    <w:rsid w:val="006B1035"/>
    <w:rsid w:val="006B1304"/>
    <w:rsid w:val="006B2B73"/>
    <w:rsid w:val="006B44F8"/>
    <w:rsid w:val="006B697F"/>
    <w:rsid w:val="006C014E"/>
    <w:rsid w:val="006C138B"/>
    <w:rsid w:val="006C37E8"/>
    <w:rsid w:val="006C39AE"/>
    <w:rsid w:val="006C3A4D"/>
    <w:rsid w:val="006C5EC9"/>
    <w:rsid w:val="006D01B3"/>
    <w:rsid w:val="006D196E"/>
    <w:rsid w:val="006D2079"/>
    <w:rsid w:val="006D257E"/>
    <w:rsid w:val="006D2932"/>
    <w:rsid w:val="006E0B56"/>
    <w:rsid w:val="006E0B95"/>
    <w:rsid w:val="006E2342"/>
    <w:rsid w:val="006E2A87"/>
    <w:rsid w:val="006E3DD3"/>
    <w:rsid w:val="006E52E9"/>
    <w:rsid w:val="006E7116"/>
    <w:rsid w:val="006F01C7"/>
    <w:rsid w:val="006F1016"/>
    <w:rsid w:val="006F22BC"/>
    <w:rsid w:val="006F2943"/>
    <w:rsid w:val="006F4290"/>
    <w:rsid w:val="006F47D2"/>
    <w:rsid w:val="006F537B"/>
    <w:rsid w:val="006F53D5"/>
    <w:rsid w:val="006F57A3"/>
    <w:rsid w:val="006F612B"/>
    <w:rsid w:val="006F6198"/>
    <w:rsid w:val="00701F69"/>
    <w:rsid w:val="0070420A"/>
    <w:rsid w:val="00706223"/>
    <w:rsid w:val="00706695"/>
    <w:rsid w:val="00706B9A"/>
    <w:rsid w:val="007078FB"/>
    <w:rsid w:val="00710536"/>
    <w:rsid w:val="00710A96"/>
    <w:rsid w:val="00712444"/>
    <w:rsid w:val="00712AF1"/>
    <w:rsid w:val="00712AFE"/>
    <w:rsid w:val="00712D7E"/>
    <w:rsid w:val="00713B45"/>
    <w:rsid w:val="00714D1B"/>
    <w:rsid w:val="00715A03"/>
    <w:rsid w:val="00715A47"/>
    <w:rsid w:val="00717ECD"/>
    <w:rsid w:val="00722C3D"/>
    <w:rsid w:val="00723362"/>
    <w:rsid w:val="00723510"/>
    <w:rsid w:val="0072373D"/>
    <w:rsid w:val="0072384A"/>
    <w:rsid w:val="00723E15"/>
    <w:rsid w:val="0072431D"/>
    <w:rsid w:val="007248FB"/>
    <w:rsid w:val="0072506A"/>
    <w:rsid w:val="0072512C"/>
    <w:rsid w:val="0072524A"/>
    <w:rsid w:val="007254B4"/>
    <w:rsid w:val="007263D9"/>
    <w:rsid w:val="007265A4"/>
    <w:rsid w:val="007266AD"/>
    <w:rsid w:val="00726890"/>
    <w:rsid w:val="00726CA3"/>
    <w:rsid w:val="00731849"/>
    <w:rsid w:val="00731D75"/>
    <w:rsid w:val="00732EDC"/>
    <w:rsid w:val="0073312E"/>
    <w:rsid w:val="00733E0A"/>
    <w:rsid w:val="0073401B"/>
    <w:rsid w:val="00736305"/>
    <w:rsid w:val="0074143D"/>
    <w:rsid w:val="007441BA"/>
    <w:rsid w:val="00745820"/>
    <w:rsid w:val="00747121"/>
    <w:rsid w:val="00751451"/>
    <w:rsid w:val="007533C2"/>
    <w:rsid w:val="00755F0B"/>
    <w:rsid w:val="00755FBD"/>
    <w:rsid w:val="0075648B"/>
    <w:rsid w:val="0075789D"/>
    <w:rsid w:val="00757B6E"/>
    <w:rsid w:val="007624F0"/>
    <w:rsid w:val="00762F95"/>
    <w:rsid w:val="00764F56"/>
    <w:rsid w:val="007663EF"/>
    <w:rsid w:val="007715DE"/>
    <w:rsid w:val="0077262E"/>
    <w:rsid w:val="00781052"/>
    <w:rsid w:val="007814A4"/>
    <w:rsid w:val="00781770"/>
    <w:rsid w:val="00781B7E"/>
    <w:rsid w:val="007824D5"/>
    <w:rsid w:val="00783EA1"/>
    <w:rsid w:val="007841BA"/>
    <w:rsid w:val="00785A07"/>
    <w:rsid w:val="007906E0"/>
    <w:rsid w:val="00790AD2"/>
    <w:rsid w:val="00791210"/>
    <w:rsid w:val="00794F6E"/>
    <w:rsid w:val="007951C3"/>
    <w:rsid w:val="007951F2"/>
    <w:rsid w:val="00796009"/>
    <w:rsid w:val="007975EE"/>
    <w:rsid w:val="00797DE9"/>
    <w:rsid w:val="007A3846"/>
    <w:rsid w:val="007A47AE"/>
    <w:rsid w:val="007A4FC8"/>
    <w:rsid w:val="007A58EB"/>
    <w:rsid w:val="007A67CF"/>
    <w:rsid w:val="007A6D8A"/>
    <w:rsid w:val="007B1C9E"/>
    <w:rsid w:val="007B1E0C"/>
    <w:rsid w:val="007B2015"/>
    <w:rsid w:val="007B25BE"/>
    <w:rsid w:val="007B36DC"/>
    <w:rsid w:val="007B377C"/>
    <w:rsid w:val="007B3949"/>
    <w:rsid w:val="007B701E"/>
    <w:rsid w:val="007C079F"/>
    <w:rsid w:val="007C4876"/>
    <w:rsid w:val="007C632B"/>
    <w:rsid w:val="007C6D7C"/>
    <w:rsid w:val="007C71F9"/>
    <w:rsid w:val="007C7262"/>
    <w:rsid w:val="007C74E8"/>
    <w:rsid w:val="007D13C0"/>
    <w:rsid w:val="007D3A0A"/>
    <w:rsid w:val="007D3D34"/>
    <w:rsid w:val="007D41EA"/>
    <w:rsid w:val="007D44DF"/>
    <w:rsid w:val="007D7679"/>
    <w:rsid w:val="007E0FCE"/>
    <w:rsid w:val="007E2260"/>
    <w:rsid w:val="007E30F6"/>
    <w:rsid w:val="007E3A44"/>
    <w:rsid w:val="007E407E"/>
    <w:rsid w:val="007E4747"/>
    <w:rsid w:val="007F0563"/>
    <w:rsid w:val="007F17AD"/>
    <w:rsid w:val="007F2267"/>
    <w:rsid w:val="007F363E"/>
    <w:rsid w:val="007F55C7"/>
    <w:rsid w:val="007F5D3D"/>
    <w:rsid w:val="007F6250"/>
    <w:rsid w:val="007F66DD"/>
    <w:rsid w:val="00800307"/>
    <w:rsid w:val="00800398"/>
    <w:rsid w:val="00800EB1"/>
    <w:rsid w:val="00803E70"/>
    <w:rsid w:val="00805AD5"/>
    <w:rsid w:val="00805CC9"/>
    <w:rsid w:val="00806D39"/>
    <w:rsid w:val="00807D89"/>
    <w:rsid w:val="008104B1"/>
    <w:rsid w:val="00811531"/>
    <w:rsid w:val="00811BA5"/>
    <w:rsid w:val="0081250E"/>
    <w:rsid w:val="00812EF4"/>
    <w:rsid w:val="00813C29"/>
    <w:rsid w:val="0081477F"/>
    <w:rsid w:val="00814C41"/>
    <w:rsid w:val="00815EA4"/>
    <w:rsid w:val="0081739C"/>
    <w:rsid w:val="0082073D"/>
    <w:rsid w:val="008207F6"/>
    <w:rsid w:val="008211C8"/>
    <w:rsid w:val="008225B5"/>
    <w:rsid w:val="00823526"/>
    <w:rsid w:val="008236C9"/>
    <w:rsid w:val="00823A2A"/>
    <w:rsid w:val="00825307"/>
    <w:rsid w:val="00825704"/>
    <w:rsid w:val="00826FDD"/>
    <w:rsid w:val="00827245"/>
    <w:rsid w:val="00830486"/>
    <w:rsid w:val="00830DB6"/>
    <w:rsid w:val="00830FB9"/>
    <w:rsid w:val="0083148C"/>
    <w:rsid w:val="008339EC"/>
    <w:rsid w:val="00833DF1"/>
    <w:rsid w:val="00834439"/>
    <w:rsid w:val="00834DD5"/>
    <w:rsid w:val="0084517E"/>
    <w:rsid w:val="00846FF1"/>
    <w:rsid w:val="008476A4"/>
    <w:rsid w:val="00850429"/>
    <w:rsid w:val="0085165F"/>
    <w:rsid w:val="00852C54"/>
    <w:rsid w:val="00852EB1"/>
    <w:rsid w:val="008533C9"/>
    <w:rsid w:val="00853565"/>
    <w:rsid w:val="00853578"/>
    <w:rsid w:val="00853BE2"/>
    <w:rsid w:val="00854081"/>
    <w:rsid w:val="008542CB"/>
    <w:rsid w:val="00857E65"/>
    <w:rsid w:val="00862406"/>
    <w:rsid w:val="008645E2"/>
    <w:rsid w:val="008647AA"/>
    <w:rsid w:val="00864C4C"/>
    <w:rsid w:val="00864F47"/>
    <w:rsid w:val="0086515C"/>
    <w:rsid w:val="008664A7"/>
    <w:rsid w:val="00866B3B"/>
    <w:rsid w:val="008701B4"/>
    <w:rsid w:val="00871443"/>
    <w:rsid w:val="00871C78"/>
    <w:rsid w:val="00872AE5"/>
    <w:rsid w:val="00872BC6"/>
    <w:rsid w:val="00873E8B"/>
    <w:rsid w:val="008743DA"/>
    <w:rsid w:val="0087450D"/>
    <w:rsid w:val="00874C17"/>
    <w:rsid w:val="00875468"/>
    <w:rsid w:val="00875519"/>
    <w:rsid w:val="008774B9"/>
    <w:rsid w:val="00877DA6"/>
    <w:rsid w:val="00881137"/>
    <w:rsid w:val="008840FF"/>
    <w:rsid w:val="00885430"/>
    <w:rsid w:val="00885454"/>
    <w:rsid w:val="00886144"/>
    <w:rsid w:val="00887BD1"/>
    <w:rsid w:val="00887EF8"/>
    <w:rsid w:val="00891730"/>
    <w:rsid w:val="00892D76"/>
    <w:rsid w:val="008932C5"/>
    <w:rsid w:val="00893E12"/>
    <w:rsid w:val="00894AEC"/>
    <w:rsid w:val="00895723"/>
    <w:rsid w:val="0089594E"/>
    <w:rsid w:val="008963AF"/>
    <w:rsid w:val="008A20C6"/>
    <w:rsid w:val="008A2575"/>
    <w:rsid w:val="008A41E5"/>
    <w:rsid w:val="008A45D7"/>
    <w:rsid w:val="008A4B60"/>
    <w:rsid w:val="008A5898"/>
    <w:rsid w:val="008A78EB"/>
    <w:rsid w:val="008B03BA"/>
    <w:rsid w:val="008B1CDB"/>
    <w:rsid w:val="008B221F"/>
    <w:rsid w:val="008B304E"/>
    <w:rsid w:val="008B4BD7"/>
    <w:rsid w:val="008B5CFD"/>
    <w:rsid w:val="008B67DA"/>
    <w:rsid w:val="008B6AD2"/>
    <w:rsid w:val="008B773B"/>
    <w:rsid w:val="008C10D2"/>
    <w:rsid w:val="008C1292"/>
    <w:rsid w:val="008C1504"/>
    <w:rsid w:val="008C2440"/>
    <w:rsid w:val="008C346B"/>
    <w:rsid w:val="008C4813"/>
    <w:rsid w:val="008C5D66"/>
    <w:rsid w:val="008D1AD0"/>
    <w:rsid w:val="008D230C"/>
    <w:rsid w:val="008D24BE"/>
    <w:rsid w:val="008D26FC"/>
    <w:rsid w:val="008D3AB1"/>
    <w:rsid w:val="008D40F2"/>
    <w:rsid w:val="008D4810"/>
    <w:rsid w:val="008D4BAE"/>
    <w:rsid w:val="008D58CD"/>
    <w:rsid w:val="008E07A0"/>
    <w:rsid w:val="008E07B9"/>
    <w:rsid w:val="008E0A8C"/>
    <w:rsid w:val="008E420F"/>
    <w:rsid w:val="008E4782"/>
    <w:rsid w:val="008E5CD6"/>
    <w:rsid w:val="008E6197"/>
    <w:rsid w:val="008E76A8"/>
    <w:rsid w:val="008F311A"/>
    <w:rsid w:val="008F40B1"/>
    <w:rsid w:val="008F4F3B"/>
    <w:rsid w:val="008F51CE"/>
    <w:rsid w:val="008F5308"/>
    <w:rsid w:val="008F66CD"/>
    <w:rsid w:val="008F7946"/>
    <w:rsid w:val="00901F05"/>
    <w:rsid w:val="0090274A"/>
    <w:rsid w:val="00905112"/>
    <w:rsid w:val="009072D1"/>
    <w:rsid w:val="009102EE"/>
    <w:rsid w:val="00914688"/>
    <w:rsid w:val="00914A58"/>
    <w:rsid w:val="00915569"/>
    <w:rsid w:val="009168A3"/>
    <w:rsid w:val="00916DE9"/>
    <w:rsid w:val="009200E5"/>
    <w:rsid w:val="00923601"/>
    <w:rsid w:val="009238E2"/>
    <w:rsid w:val="00923FB6"/>
    <w:rsid w:val="00924C49"/>
    <w:rsid w:val="00926968"/>
    <w:rsid w:val="00926FF9"/>
    <w:rsid w:val="00930DC3"/>
    <w:rsid w:val="0093154F"/>
    <w:rsid w:val="0093234E"/>
    <w:rsid w:val="00934494"/>
    <w:rsid w:val="00935D30"/>
    <w:rsid w:val="00935F98"/>
    <w:rsid w:val="00936306"/>
    <w:rsid w:val="00936CBC"/>
    <w:rsid w:val="0093735F"/>
    <w:rsid w:val="00940526"/>
    <w:rsid w:val="009409FE"/>
    <w:rsid w:val="0094119C"/>
    <w:rsid w:val="00942C39"/>
    <w:rsid w:val="00943B28"/>
    <w:rsid w:val="00944EA1"/>
    <w:rsid w:val="00945687"/>
    <w:rsid w:val="00945905"/>
    <w:rsid w:val="00946EF7"/>
    <w:rsid w:val="009515B3"/>
    <w:rsid w:val="00951D3C"/>
    <w:rsid w:val="00952E98"/>
    <w:rsid w:val="0095391E"/>
    <w:rsid w:val="009543CF"/>
    <w:rsid w:val="009545B1"/>
    <w:rsid w:val="00954B1A"/>
    <w:rsid w:val="0096163E"/>
    <w:rsid w:val="00962714"/>
    <w:rsid w:val="00965BCD"/>
    <w:rsid w:val="009661D4"/>
    <w:rsid w:val="00966332"/>
    <w:rsid w:val="009747E5"/>
    <w:rsid w:val="00974A18"/>
    <w:rsid w:val="009774A1"/>
    <w:rsid w:val="009802D9"/>
    <w:rsid w:val="0098149B"/>
    <w:rsid w:val="009842E8"/>
    <w:rsid w:val="009860C3"/>
    <w:rsid w:val="00986370"/>
    <w:rsid w:val="009900F4"/>
    <w:rsid w:val="00990D07"/>
    <w:rsid w:val="00992F5B"/>
    <w:rsid w:val="0099378E"/>
    <w:rsid w:val="009938D1"/>
    <w:rsid w:val="00995A6A"/>
    <w:rsid w:val="00995D3A"/>
    <w:rsid w:val="00996CE3"/>
    <w:rsid w:val="009A02E9"/>
    <w:rsid w:val="009A1605"/>
    <w:rsid w:val="009A21CA"/>
    <w:rsid w:val="009A27F3"/>
    <w:rsid w:val="009A4D12"/>
    <w:rsid w:val="009A70DE"/>
    <w:rsid w:val="009B0DEC"/>
    <w:rsid w:val="009B0FC8"/>
    <w:rsid w:val="009B1040"/>
    <w:rsid w:val="009B36D2"/>
    <w:rsid w:val="009B38B5"/>
    <w:rsid w:val="009B4E89"/>
    <w:rsid w:val="009B5683"/>
    <w:rsid w:val="009B5849"/>
    <w:rsid w:val="009B69C2"/>
    <w:rsid w:val="009B6BB1"/>
    <w:rsid w:val="009C0469"/>
    <w:rsid w:val="009C2792"/>
    <w:rsid w:val="009C38E5"/>
    <w:rsid w:val="009C3928"/>
    <w:rsid w:val="009C3C09"/>
    <w:rsid w:val="009C45C5"/>
    <w:rsid w:val="009C463A"/>
    <w:rsid w:val="009C5D1F"/>
    <w:rsid w:val="009C741F"/>
    <w:rsid w:val="009D0B40"/>
    <w:rsid w:val="009D1F85"/>
    <w:rsid w:val="009D2A7B"/>
    <w:rsid w:val="009D69A0"/>
    <w:rsid w:val="009D7F5B"/>
    <w:rsid w:val="009E042D"/>
    <w:rsid w:val="009E1752"/>
    <w:rsid w:val="009E3044"/>
    <w:rsid w:val="009E31C9"/>
    <w:rsid w:val="009E43FC"/>
    <w:rsid w:val="009F117E"/>
    <w:rsid w:val="009F3216"/>
    <w:rsid w:val="009F44A9"/>
    <w:rsid w:val="009F5BA4"/>
    <w:rsid w:val="009F5C23"/>
    <w:rsid w:val="009F7C94"/>
    <w:rsid w:val="00A03FBB"/>
    <w:rsid w:val="00A04D51"/>
    <w:rsid w:val="00A05070"/>
    <w:rsid w:val="00A060C6"/>
    <w:rsid w:val="00A062C4"/>
    <w:rsid w:val="00A0635F"/>
    <w:rsid w:val="00A06D0E"/>
    <w:rsid w:val="00A07371"/>
    <w:rsid w:val="00A0754D"/>
    <w:rsid w:val="00A1001E"/>
    <w:rsid w:val="00A105A4"/>
    <w:rsid w:val="00A10FCE"/>
    <w:rsid w:val="00A10FDE"/>
    <w:rsid w:val="00A11408"/>
    <w:rsid w:val="00A11678"/>
    <w:rsid w:val="00A14880"/>
    <w:rsid w:val="00A158F0"/>
    <w:rsid w:val="00A15BD4"/>
    <w:rsid w:val="00A202EB"/>
    <w:rsid w:val="00A207C9"/>
    <w:rsid w:val="00A20FB8"/>
    <w:rsid w:val="00A21AD2"/>
    <w:rsid w:val="00A23C31"/>
    <w:rsid w:val="00A2451A"/>
    <w:rsid w:val="00A254BB"/>
    <w:rsid w:val="00A2633C"/>
    <w:rsid w:val="00A3097F"/>
    <w:rsid w:val="00A30E44"/>
    <w:rsid w:val="00A318CF"/>
    <w:rsid w:val="00A31A6D"/>
    <w:rsid w:val="00A31CC9"/>
    <w:rsid w:val="00A31E38"/>
    <w:rsid w:val="00A33CAF"/>
    <w:rsid w:val="00A33FD9"/>
    <w:rsid w:val="00A343D0"/>
    <w:rsid w:val="00A34ADA"/>
    <w:rsid w:val="00A35AC1"/>
    <w:rsid w:val="00A361C8"/>
    <w:rsid w:val="00A36A36"/>
    <w:rsid w:val="00A370C0"/>
    <w:rsid w:val="00A373EF"/>
    <w:rsid w:val="00A40396"/>
    <w:rsid w:val="00A40AF5"/>
    <w:rsid w:val="00A41901"/>
    <w:rsid w:val="00A4273A"/>
    <w:rsid w:val="00A43AF0"/>
    <w:rsid w:val="00A43E75"/>
    <w:rsid w:val="00A4664C"/>
    <w:rsid w:val="00A46BA2"/>
    <w:rsid w:val="00A525D5"/>
    <w:rsid w:val="00A52675"/>
    <w:rsid w:val="00A52DB2"/>
    <w:rsid w:val="00A533F5"/>
    <w:rsid w:val="00A533FF"/>
    <w:rsid w:val="00A53C8B"/>
    <w:rsid w:val="00A53F9C"/>
    <w:rsid w:val="00A569D5"/>
    <w:rsid w:val="00A57139"/>
    <w:rsid w:val="00A57CED"/>
    <w:rsid w:val="00A60A4F"/>
    <w:rsid w:val="00A60BA4"/>
    <w:rsid w:val="00A619DF"/>
    <w:rsid w:val="00A64FE4"/>
    <w:rsid w:val="00A655E4"/>
    <w:rsid w:val="00A659CD"/>
    <w:rsid w:val="00A65DA5"/>
    <w:rsid w:val="00A70517"/>
    <w:rsid w:val="00A7176C"/>
    <w:rsid w:val="00A72097"/>
    <w:rsid w:val="00A72308"/>
    <w:rsid w:val="00A72D7F"/>
    <w:rsid w:val="00A73119"/>
    <w:rsid w:val="00A733AC"/>
    <w:rsid w:val="00A73DBB"/>
    <w:rsid w:val="00A75698"/>
    <w:rsid w:val="00A7618A"/>
    <w:rsid w:val="00A773EC"/>
    <w:rsid w:val="00A80A33"/>
    <w:rsid w:val="00A826D2"/>
    <w:rsid w:val="00A82BE3"/>
    <w:rsid w:val="00A82CC4"/>
    <w:rsid w:val="00A832D3"/>
    <w:rsid w:val="00A838C0"/>
    <w:rsid w:val="00A8401D"/>
    <w:rsid w:val="00A84279"/>
    <w:rsid w:val="00A85ACC"/>
    <w:rsid w:val="00A86B81"/>
    <w:rsid w:val="00A87966"/>
    <w:rsid w:val="00A908F2"/>
    <w:rsid w:val="00A923BA"/>
    <w:rsid w:val="00A92B5A"/>
    <w:rsid w:val="00A92D48"/>
    <w:rsid w:val="00A92EFB"/>
    <w:rsid w:val="00A93899"/>
    <w:rsid w:val="00A94080"/>
    <w:rsid w:val="00A957A1"/>
    <w:rsid w:val="00A96AB4"/>
    <w:rsid w:val="00A97EF5"/>
    <w:rsid w:val="00AA110F"/>
    <w:rsid w:val="00AA1195"/>
    <w:rsid w:val="00AA11C9"/>
    <w:rsid w:val="00AA21BD"/>
    <w:rsid w:val="00AA3E70"/>
    <w:rsid w:val="00AA420B"/>
    <w:rsid w:val="00AA4D60"/>
    <w:rsid w:val="00AA5948"/>
    <w:rsid w:val="00AA5B7E"/>
    <w:rsid w:val="00AA660C"/>
    <w:rsid w:val="00AB1126"/>
    <w:rsid w:val="00AB14E8"/>
    <w:rsid w:val="00AB2D01"/>
    <w:rsid w:val="00AB33B6"/>
    <w:rsid w:val="00AB3C21"/>
    <w:rsid w:val="00AB3D1F"/>
    <w:rsid w:val="00AB4350"/>
    <w:rsid w:val="00AB5B2B"/>
    <w:rsid w:val="00AB60CF"/>
    <w:rsid w:val="00AB63EE"/>
    <w:rsid w:val="00AB7CFC"/>
    <w:rsid w:val="00AC0058"/>
    <w:rsid w:val="00AC007C"/>
    <w:rsid w:val="00AC280D"/>
    <w:rsid w:val="00AC3AE5"/>
    <w:rsid w:val="00AC53F4"/>
    <w:rsid w:val="00AC5737"/>
    <w:rsid w:val="00AC5DF6"/>
    <w:rsid w:val="00AC6B0B"/>
    <w:rsid w:val="00AC704C"/>
    <w:rsid w:val="00AC78A0"/>
    <w:rsid w:val="00AD17C3"/>
    <w:rsid w:val="00AD338B"/>
    <w:rsid w:val="00AD730A"/>
    <w:rsid w:val="00AE0B3F"/>
    <w:rsid w:val="00AE0F0C"/>
    <w:rsid w:val="00AE1256"/>
    <w:rsid w:val="00AE131E"/>
    <w:rsid w:val="00AE24FB"/>
    <w:rsid w:val="00AE35EE"/>
    <w:rsid w:val="00AE5929"/>
    <w:rsid w:val="00AE5C82"/>
    <w:rsid w:val="00AE71CE"/>
    <w:rsid w:val="00AF28DC"/>
    <w:rsid w:val="00AF2AAC"/>
    <w:rsid w:val="00AF33CE"/>
    <w:rsid w:val="00AF3C7C"/>
    <w:rsid w:val="00AF415A"/>
    <w:rsid w:val="00AF44FB"/>
    <w:rsid w:val="00AF5275"/>
    <w:rsid w:val="00AF52A1"/>
    <w:rsid w:val="00AF6FA5"/>
    <w:rsid w:val="00AF7B32"/>
    <w:rsid w:val="00B01123"/>
    <w:rsid w:val="00B0373E"/>
    <w:rsid w:val="00B04654"/>
    <w:rsid w:val="00B050BA"/>
    <w:rsid w:val="00B074EA"/>
    <w:rsid w:val="00B07E10"/>
    <w:rsid w:val="00B107BA"/>
    <w:rsid w:val="00B145E5"/>
    <w:rsid w:val="00B147DC"/>
    <w:rsid w:val="00B156DA"/>
    <w:rsid w:val="00B15DBB"/>
    <w:rsid w:val="00B15DC1"/>
    <w:rsid w:val="00B15F72"/>
    <w:rsid w:val="00B1617B"/>
    <w:rsid w:val="00B16EB6"/>
    <w:rsid w:val="00B170AD"/>
    <w:rsid w:val="00B21CF0"/>
    <w:rsid w:val="00B23E23"/>
    <w:rsid w:val="00B30C79"/>
    <w:rsid w:val="00B30EF9"/>
    <w:rsid w:val="00B31191"/>
    <w:rsid w:val="00B31B54"/>
    <w:rsid w:val="00B32005"/>
    <w:rsid w:val="00B322B9"/>
    <w:rsid w:val="00B346FF"/>
    <w:rsid w:val="00B35278"/>
    <w:rsid w:val="00B35A21"/>
    <w:rsid w:val="00B35B61"/>
    <w:rsid w:val="00B35F58"/>
    <w:rsid w:val="00B37956"/>
    <w:rsid w:val="00B400D1"/>
    <w:rsid w:val="00B401F2"/>
    <w:rsid w:val="00B42154"/>
    <w:rsid w:val="00B42E9F"/>
    <w:rsid w:val="00B43A5C"/>
    <w:rsid w:val="00B446B1"/>
    <w:rsid w:val="00B450D9"/>
    <w:rsid w:val="00B45189"/>
    <w:rsid w:val="00B451E8"/>
    <w:rsid w:val="00B50355"/>
    <w:rsid w:val="00B5095A"/>
    <w:rsid w:val="00B50C9D"/>
    <w:rsid w:val="00B5473C"/>
    <w:rsid w:val="00B54A50"/>
    <w:rsid w:val="00B552D0"/>
    <w:rsid w:val="00B55D6B"/>
    <w:rsid w:val="00B564DC"/>
    <w:rsid w:val="00B57260"/>
    <w:rsid w:val="00B57274"/>
    <w:rsid w:val="00B57D06"/>
    <w:rsid w:val="00B6022D"/>
    <w:rsid w:val="00B613A6"/>
    <w:rsid w:val="00B61452"/>
    <w:rsid w:val="00B61C89"/>
    <w:rsid w:val="00B61E23"/>
    <w:rsid w:val="00B63E4E"/>
    <w:rsid w:val="00B63E95"/>
    <w:rsid w:val="00B64128"/>
    <w:rsid w:val="00B642DF"/>
    <w:rsid w:val="00B66F85"/>
    <w:rsid w:val="00B66FA2"/>
    <w:rsid w:val="00B700CE"/>
    <w:rsid w:val="00B70608"/>
    <w:rsid w:val="00B708E5"/>
    <w:rsid w:val="00B70E22"/>
    <w:rsid w:val="00B72396"/>
    <w:rsid w:val="00B73A88"/>
    <w:rsid w:val="00B77A0E"/>
    <w:rsid w:val="00B77ECA"/>
    <w:rsid w:val="00B809DA"/>
    <w:rsid w:val="00B81BFA"/>
    <w:rsid w:val="00B84B93"/>
    <w:rsid w:val="00B85379"/>
    <w:rsid w:val="00B857A0"/>
    <w:rsid w:val="00B85C3E"/>
    <w:rsid w:val="00B85C70"/>
    <w:rsid w:val="00B866F5"/>
    <w:rsid w:val="00B907FA"/>
    <w:rsid w:val="00B9126B"/>
    <w:rsid w:val="00B92ACC"/>
    <w:rsid w:val="00B933EC"/>
    <w:rsid w:val="00B96169"/>
    <w:rsid w:val="00B97ADF"/>
    <w:rsid w:val="00BA04A6"/>
    <w:rsid w:val="00BA0821"/>
    <w:rsid w:val="00BA44D4"/>
    <w:rsid w:val="00BA5E08"/>
    <w:rsid w:val="00BA6A2B"/>
    <w:rsid w:val="00BA6C2C"/>
    <w:rsid w:val="00BA6DB8"/>
    <w:rsid w:val="00BA74FB"/>
    <w:rsid w:val="00BB0E29"/>
    <w:rsid w:val="00BB1FAB"/>
    <w:rsid w:val="00BB2F23"/>
    <w:rsid w:val="00BB3285"/>
    <w:rsid w:val="00BC0226"/>
    <w:rsid w:val="00BC0579"/>
    <w:rsid w:val="00BC3393"/>
    <w:rsid w:val="00BC488C"/>
    <w:rsid w:val="00BC4E81"/>
    <w:rsid w:val="00BC78BC"/>
    <w:rsid w:val="00BD0072"/>
    <w:rsid w:val="00BD27D3"/>
    <w:rsid w:val="00BD3F0D"/>
    <w:rsid w:val="00BD43D3"/>
    <w:rsid w:val="00BD4D0C"/>
    <w:rsid w:val="00BD6776"/>
    <w:rsid w:val="00BD68E2"/>
    <w:rsid w:val="00BD76E5"/>
    <w:rsid w:val="00BE17A7"/>
    <w:rsid w:val="00BE1A57"/>
    <w:rsid w:val="00BE2384"/>
    <w:rsid w:val="00BE59BA"/>
    <w:rsid w:val="00BE65CF"/>
    <w:rsid w:val="00BE6CE1"/>
    <w:rsid w:val="00BE7C74"/>
    <w:rsid w:val="00BF10A2"/>
    <w:rsid w:val="00BF115A"/>
    <w:rsid w:val="00BF2E87"/>
    <w:rsid w:val="00BF49F1"/>
    <w:rsid w:val="00BF67A2"/>
    <w:rsid w:val="00BF67C6"/>
    <w:rsid w:val="00C0122D"/>
    <w:rsid w:val="00C021B6"/>
    <w:rsid w:val="00C0392F"/>
    <w:rsid w:val="00C05845"/>
    <w:rsid w:val="00C05FD2"/>
    <w:rsid w:val="00C07FC9"/>
    <w:rsid w:val="00C14A62"/>
    <w:rsid w:val="00C162EC"/>
    <w:rsid w:val="00C16760"/>
    <w:rsid w:val="00C17218"/>
    <w:rsid w:val="00C174C4"/>
    <w:rsid w:val="00C22BD7"/>
    <w:rsid w:val="00C23477"/>
    <w:rsid w:val="00C2389B"/>
    <w:rsid w:val="00C25861"/>
    <w:rsid w:val="00C26174"/>
    <w:rsid w:val="00C268C6"/>
    <w:rsid w:val="00C27347"/>
    <w:rsid w:val="00C31693"/>
    <w:rsid w:val="00C325BC"/>
    <w:rsid w:val="00C34504"/>
    <w:rsid w:val="00C35DAC"/>
    <w:rsid w:val="00C45B54"/>
    <w:rsid w:val="00C46400"/>
    <w:rsid w:val="00C46CA2"/>
    <w:rsid w:val="00C46F86"/>
    <w:rsid w:val="00C47ACB"/>
    <w:rsid w:val="00C50399"/>
    <w:rsid w:val="00C52126"/>
    <w:rsid w:val="00C53DC9"/>
    <w:rsid w:val="00C53E11"/>
    <w:rsid w:val="00C5484B"/>
    <w:rsid w:val="00C54A7E"/>
    <w:rsid w:val="00C55276"/>
    <w:rsid w:val="00C55A96"/>
    <w:rsid w:val="00C56085"/>
    <w:rsid w:val="00C56927"/>
    <w:rsid w:val="00C57B55"/>
    <w:rsid w:val="00C614BC"/>
    <w:rsid w:val="00C6217D"/>
    <w:rsid w:val="00C62256"/>
    <w:rsid w:val="00C627FF"/>
    <w:rsid w:val="00C64879"/>
    <w:rsid w:val="00C663F4"/>
    <w:rsid w:val="00C709C0"/>
    <w:rsid w:val="00C7181D"/>
    <w:rsid w:val="00C719AC"/>
    <w:rsid w:val="00C7311B"/>
    <w:rsid w:val="00C73BDC"/>
    <w:rsid w:val="00C74DEC"/>
    <w:rsid w:val="00C74F23"/>
    <w:rsid w:val="00C80F5E"/>
    <w:rsid w:val="00C81577"/>
    <w:rsid w:val="00C81934"/>
    <w:rsid w:val="00C82537"/>
    <w:rsid w:val="00C84B1E"/>
    <w:rsid w:val="00C857ED"/>
    <w:rsid w:val="00C85BD5"/>
    <w:rsid w:val="00C873CF"/>
    <w:rsid w:val="00C87BD1"/>
    <w:rsid w:val="00C87D6F"/>
    <w:rsid w:val="00C91230"/>
    <w:rsid w:val="00C91B37"/>
    <w:rsid w:val="00C950B3"/>
    <w:rsid w:val="00C96A19"/>
    <w:rsid w:val="00CA0A04"/>
    <w:rsid w:val="00CA20F6"/>
    <w:rsid w:val="00CA2704"/>
    <w:rsid w:val="00CA2BF3"/>
    <w:rsid w:val="00CA2E50"/>
    <w:rsid w:val="00CA309C"/>
    <w:rsid w:val="00CA37B4"/>
    <w:rsid w:val="00CA3BFC"/>
    <w:rsid w:val="00CA57D2"/>
    <w:rsid w:val="00CA6211"/>
    <w:rsid w:val="00CA646E"/>
    <w:rsid w:val="00CA6F5D"/>
    <w:rsid w:val="00CA77D9"/>
    <w:rsid w:val="00CA7F7C"/>
    <w:rsid w:val="00CB024F"/>
    <w:rsid w:val="00CB16E2"/>
    <w:rsid w:val="00CB18B9"/>
    <w:rsid w:val="00CB18C5"/>
    <w:rsid w:val="00CB42A5"/>
    <w:rsid w:val="00CB5F9A"/>
    <w:rsid w:val="00CB641E"/>
    <w:rsid w:val="00CB7081"/>
    <w:rsid w:val="00CC269F"/>
    <w:rsid w:val="00CC3847"/>
    <w:rsid w:val="00CC6DC2"/>
    <w:rsid w:val="00CC6F84"/>
    <w:rsid w:val="00CD03EA"/>
    <w:rsid w:val="00CD09E4"/>
    <w:rsid w:val="00CD0A53"/>
    <w:rsid w:val="00CD1799"/>
    <w:rsid w:val="00CD180F"/>
    <w:rsid w:val="00CD35B4"/>
    <w:rsid w:val="00CD36DC"/>
    <w:rsid w:val="00CD55D5"/>
    <w:rsid w:val="00CD5743"/>
    <w:rsid w:val="00CD5BB1"/>
    <w:rsid w:val="00CE0529"/>
    <w:rsid w:val="00CE133F"/>
    <w:rsid w:val="00CE1F54"/>
    <w:rsid w:val="00CE504B"/>
    <w:rsid w:val="00CE5D95"/>
    <w:rsid w:val="00CE6210"/>
    <w:rsid w:val="00CE779E"/>
    <w:rsid w:val="00CF1BE2"/>
    <w:rsid w:val="00CF2601"/>
    <w:rsid w:val="00CF2D3E"/>
    <w:rsid w:val="00CF310A"/>
    <w:rsid w:val="00D0233D"/>
    <w:rsid w:val="00D026FA"/>
    <w:rsid w:val="00D06D12"/>
    <w:rsid w:val="00D07DD4"/>
    <w:rsid w:val="00D07E8A"/>
    <w:rsid w:val="00D1067E"/>
    <w:rsid w:val="00D10936"/>
    <w:rsid w:val="00D10D91"/>
    <w:rsid w:val="00D10FD2"/>
    <w:rsid w:val="00D124D1"/>
    <w:rsid w:val="00D12793"/>
    <w:rsid w:val="00D14ACA"/>
    <w:rsid w:val="00D1601F"/>
    <w:rsid w:val="00D176D8"/>
    <w:rsid w:val="00D239B7"/>
    <w:rsid w:val="00D23D54"/>
    <w:rsid w:val="00D25875"/>
    <w:rsid w:val="00D2724D"/>
    <w:rsid w:val="00D273A7"/>
    <w:rsid w:val="00D302F2"/>
    <w:rsid w:val="00D30389"/>
    <w:rsid w:val="00D30751"/>
    <w:rsid w:val="00D30891"/>
    <w:rsid w:val="00D310D8"/>
    <w:rsid w:val="00D3343D"/>
    <w:rsid w:val="00D35218"/>
    <w:rsid w:val="00D36B7A"/>
    <w:rsid w:val="00D36D29"/>
    <w:rsid w:val="00D3790D"/>
    <w:rsid w:val="00D37ECB"/>
    <w:rsid w:val="00D42E1C"/>
    <w:rsid w:val="00D45341"/>
    <w:rsid w:val="00D46844"/>
    <w:rsid w:val="00D514A6"/>
    <w:rsid w:val="00D5174C"/>
    <w:rsid w:val="00D523D2"/>
    <w:rsid w:val="00D52401"/>
    <w:rsid w:val="00D57B5E"/>
    <w:rsid w:val="00D61B4B"/>
    <w:rsid w:val="00D61C8F"/>
    <w:rsid w:val="00D63534"/>
    <w:rsid w:val="00D63FAA"/>
    <w:rsid w:val="00D64B9D"/>
    <w:rsid w:val="00D65736"/>
    <w:rsid w:val="00D66207"/>
    <w:rsid w:val="00D67347"/>
    <w:rsid w:val="00D70D00"/>
    <w:rsid w:val="00D71527"/>
    <w:rsid w:val="00D74030"/>
    <w:rsid w:val="00D744EC"/>
    <w:rsid w:val="00D74D03"/>
    <w:rsid w:val="00D754CF"/>
    <w:rsid w:val="00D75979"/>
    <w:rsid w:val="00D81A94"/>
    <w:rsid w:val="00D81AC3"/>
    <w:rsid w:val="00D83284"/>
    <w:rsid w:val="00D83EF0"/>
    <w:rsid w:val="00D85DA8"/>
    <w:rsid w:val="00D864E2"/>
    <w:rsid w:val="00D90647"/>
    <w:rsid w:val="00D92D73"/>
    <w:rsid w:val="00D930CD"/>
    <w:rsid w:val="00D933E7"/>
    <w:rsid w:val="00D93441"/>
    <w:rsid w:val="00D93916"/>
    <w:rsid w:val="00D93957"/>
    <w:rsid w:val="00D944BC"/>
    <w:rsid w:val="00D95167"/>
    <w:rsid w:val="00D957C8"/>
    <w:rsid w:val="00D96551"/>
    <w:rsid w:val="00D967A3"/>
    <w:rsid w:val="00D970D5"/>
    <w:rsid w:val="00D9738F"/>
    <w:rsid w:val="00DA0158"/>
    <w:rsid w:val="00DA0632"/>
    <w:rsid w:val="00DA0AA8"/>
    <w:rsid w:val="00DA22C0"/>
    <w:rsid w:val="00DA40A8"/>
    <w:rsid w:val="00DA4401"/>
    <w:rsid w:val="00DA784D"/>
    <w:rsid w:val="00DB0A0E"/>
    <w:rsid w:val="00DB0DD6"/>
    <w:rsid w:val="00DB5EE2"/>
    <w:rsid w:val="00DB720C"/>
    <w:rsid w:val="00DC1946"/>
    <w:rsid w:val="00DC1A79"/>
    <w:rsid w:val="00DC3354"/>
    <w:rsid w:val="00DC3814"/>
    <w:rsid w:val="00DC42CD"/>
    <w:rsid w:val="00DC6B25"/>
    <w:rsid w:val="00DC7230"/>
    <w:rsid w:val="00DD11CA"/>
    <w:rsid w:val="00DD31D4"/>
    <w:rsid w:val="00DD355E"/>
    <w:rsid w:val="00DD35FE"/>
    <w:rsid w:val="00DD6ACA"/>
    <w:rsid w:val="00DE01D2"/>
    <w:rsid w:val="00DE3901"/>
    <w:rsid w:val="00DE5305"/>
    <w:rsid w:val="00DF13CA"/>
    <w:rsid w:val="00DF1620"/>
    <w:rsid w:val="00DF1A18"/>
    <w:rsid w:val="00DF1CE5"/>
    <w:rsid w:val="00DF215F"/>
    <w:rsid w:val="00DF2FB3"/>
    <w:rsid w:val="00DF4661"/>
    <w:rsid w:val="00DF4AC4"/>
    <w:rsid w:val="00DF724C"/>
    <w:rsid w:val="00E00366"/>
    <w:rsid w:val="00E00BDA"/>
    <w:rsid w:val="00E00F3E"/>
    <w:rsid w:val="00E01768"/>
    <w:rsid w:val="00E0310B"/>
    <w:rsid w:val="00E122C7"/>
    <w:rsid w:val="00E13169"/>
    <w:rsid w:val="00E135D7"/>
    <w:rsid w:val="00E136B1"/>
    <w:rsid w:val="00E13E77"/>
    <w:rsid w:val="00E156C6"/>
    <w:rsid w:val="00E1740E"/>
    <w:rsid w:val="00E17896"/>
    <w:rsid w:val="00E2081E"/>
    <w:rsid w:val="00E21EF2"/>
    <w:rsid w:val="00E23A14"/>
    <w:rsid w:val="00E2539E"/>
    <w:rsid w:val="00E25655"/>
    <w:rsid w:val="00E258DF"/>
    <w:rsid w:val="00E265F7"/>
    <w:rsid w:val="00E30372"/>
    <w:rsid w:val="00E311E6"/>
    <w:rsid w:val="00E3161B"/>
    <w:rsid w:val="00E33429"/>
    <w:rsid w:val="00E35F34"/>
    <w:rsid w:val="00E363F2"/>
    <w:rsid w:val="00E374CB"/>
    <w:rsid w:val="00E40288"/>
    <w:rsid w:val="00E42F43"/>
    <w:rsid w:val="00E43F4B"/>
    <w:rsid w:val="00E44446"/>
    <w:rsid w:val="00E44B4A"/>
    <w:rsid w:val="00E461F0"/>
    <w:rsid w:val="00E5276E"/>
    <w:rsid w:val="00E53697"/>
    <w:rsid w:val="00E547F3"/>
    <w:rsid w:val="00E54EDE"/>
    <w:rsid w:val="00E55200"/>
    <w:rsid w:val="00E554F3"/>
    <w:rsid w:val="00E55C8E"/>
    <w:rsid w:val="00E56233"/>
    <w:rsid w:val="00E56A76"/>
    <w:rsid w:val="00E61136"/>
    <w:rsid w:val="00E61200"/>
    <w:rsid w:val="00E6130E"/>
    <w:rsid w:val="00E62B64"/>
    <w:rsid w:val="00E652D6"/>
    <w:rsid w:val="00E6794B"/>
    <w:rsid w:val="00E72FDD"/>
    <w:rsid w:val="00E7339A"/>
    <w:rsid w:val="00E75945"/>
    <w:rsid w:val="00E768B8"/>
    <w:rsid w:val="00E7746B"/>
    <w:rsid w:val="00E77478"/>
    <w:rsid w:val="00E802A0"/>
    <w:rsid w:val="00E804F8"/>
    <w:rsid w:val="00E82492"/>
    <w:rsid w:val="00E83A57"/>
    <w:rsid w:val="00E83D6F"/>
    <w:rsid w:val="00E83FDD"/>
    <w:rsid w:val="00E847C4"/>
    <w:rsid w:val="00E84C45"/>
    <w:rsid w:val="00E87050"/>
    <w:rsid w:val="00E9008E"/>
    <w:rsid w:val="00E91EB7"/>
    <w:rsid w:val="00E927A5"/>
    <w:rsid w:val="00E943D6"/>
    <w:rsid w:val="00E972A4"/>
    <w:rsid w:val="00E97503"/>
    <w:rsid w:val="00EA0AA3"/>
    <w:rsid w:val="00EA1E47"/>
    <w:rsid w:val="00EA1F5A"/>
    <w:rsid w:val="00EA2B4D"/>
    <w:rsid w:val="00EA2C67"/>
    <w:rsid w:val="00EA3E0A"/>
    <w:rsid w:val="00EA5695"/>
    <w:rsid w:val="00EA585E"/>
    <w:rsid w:val="00EA6A4D"/>
    <w:rsid w:val="00EB080D"/>
    <w:rsid w:val="00EB2559"/>
    <w:rsid w:val="00EB2878"/>
    <w:rsid w:val="00EB4508"/>
    <w:rsid w:val="00EB5882"/>
    <w:rsid w:val="00EB5F1D"/>
    <w:rsid w:val="00EB6907"/>
    <w:rsid w:val="00EC10BC"/>
    <w:rsid w:val="00EC19AB"/>
    <w:rsid w:val="00EC2199"/>
    <w:rsid w:val="00EC4E06"/>
    <w:rsid w:val="00EC6E50"/>
    <w:rsid w:val="00EC753E"/>
    <w:rsid w:val="00EC7F8D"/>
    <w:rsid w:val="00ED1245"/>
    <w:rsid w:val="00ED37D7"/>
    <w:rsid w:val="00ED4C76"/>
    <w:rsid w:val="00ED53E0"/>
    <w:rsid w:val="00ED767C"/>
    <w:rsid w:val="00EE0B11"/>
    <w:rsid w:val="00EE3010"/>
    <w:rsid w:val="00EE3ECA"/>
    <w:rsid w:val="00EE555F"/>
    <w:rsid w:val="00EE5CE8"/>
    <w:rsid w:val="00EE68E7"/>
    <w:rsid w:val="00EF06D5"/>
    <w:rsid w:val="00EF246E"/>
    <w:rsid w:val="00EF24C6"/>
    <w:rsid w:val="00EF3307"/>
    <w:rsid w:val="00EF39E8"/>
    <w:rsid w:val="00EF4900"/>
    <w:rsid w:val="00EF58E4"/>
    <w:rsid w:val="00EF5E68"/>
    <w:rsid w:val="00EF6481"/>
    <w:rsid w:val="00F01534"/>
    <w:rsid w:val="00F02D36"/>
    <w:rsid w:val="00F05890"/>
    <w:rsid w:val="00F06CB3"/>
    <w:rsid w:val="00F11631"/>
    <w:rsid w:val="00F13F8B"/>
    <w:rsid w:val="00F149A7"/>
    <w:rsid w:val="00F15097"/>
    <w:rsid w:val="00F15F4A"/>
    <w:rsid w:val="00F175D4"/>
    <w:rsid w:val="00F20375"/>
    <w:rsid w:val="00F21032"/>
    <w:rsid w:val="00F21218"/>
    <w:rsid w:val="00F229FB"/>
    <w:rsid w:val="00F22D9C"/>
    <w:rsid w:val="00F230E3"/>
    <w:rsid w:val="00F27A4B"/>
    <w:rsid w:val="00F313B8"/>
    <w:rsid w:val="00F3378E"/>
    <w:rsid w:val="00F34A45"/>
    <w:rsid w:val="00F34C0F"/>
    <w:rsid w:val="00F36CC8"/>
    <w:rsid w:val="00F4013E"/>
    <w:rsid w:val="00F419F8"/>
    <w:rsid w:val="00F451C5"/>
    <w:rsid w:val="00F453A8"/>
    <w:rsid w:val="00F45BE9"/>
    <w:rsid w:val="00F46041"/>
    <w:rsid w:val="00F462B9"/>
    <w:rsid w:val="00F511AF"/>
    <w:rsid w:val="00F5181D"/>
    <w:rsid w:val="00F519D0"/>
    <w:rsid w:val="00F52719"/>
    <w:rsid w:val="00F530BE"/>
    <w:rsid w:val="00F53428"/>
    <w:rsid w:val="00F53A08"/>
    <w:rsid w:val="00F5489A"/>
    <w:rsid w:val="00F5496A"/>
    <w:rsid w:val="00F5574D"/>
    <w:rsid w:val="00F56E19"/>
    <w:rsid w:val="00F57A81"/>
    <w:rsid w:val="00F57DB0"/>
    <w:rsid w:val="00F60248"/>
    <w:rsid w:val="00F60A0B"/>
    <w:rsid w:val="00F61C88"/>
    <w:rsid w:val="00F71AFD"/>
    <w:rsid w:val="00F72A06"/>
    <w:rsid w:val="00F72AA0"/>
    <w:rsid w:val="00F7366E"/>
    <w:rsid w:val="00F73D1E"/>
    <w:rsid w:val="00F74E5E"/>
    <w:rsid w:val="00F75276"/>
    <w:rsid w:val="00F755DE"/>
    <w:rsid w:val="00F7748E"/>
    <w:rsid w:val="00F77591"/>
    <w:rsid w:val="00F81717"/>
    <w:rsid w:val="00F8296D"/>
    <w:rsid w:val="00F82F58"/>
    <w:rsid w:val="00F83CCA"/>
    <w:rsid w:val="00F8434E"/>
    <w:rsid w:val="00F8435C"/>
    <w:rsid w:val="00F84C6E"/>
    <w:rsid w:val="00F91224"/>
    <w:rsid w:val="00F91618"/>
    <w:rsid w:val="00F92DD1"/>
    <w:rsid w:val="00F936B3"/>
    <w:rsid w:val="00F96D25"/>
    <w:rsid w:val="00FA1D7A"/>
    <w:rsid w:val="00FA3F8C"/>
    <w:rsid w:val="00FA4561"/>
    <w:rsid w:val="00FA4906"/>
    <w:rsid w:val="00FA5030"/>
    <w:rsid w:val="00FA62D2"/>
    <w:rsid w:val="00FA6590"/>
    <w:rsid w:val="00FA6913"/>
    <w:rsid w:val="00FB1A6B"/>
    <w:rsid w:val="00FB1AC1"/>
    <w:rsid w:val="00FB3F28"/>
    <w:rsid w:val="00FB4068"/>
    <w:rsid w:val="00FB4625"/>
    <w:rsid w:val="00FB5273"/>
    <w:rsid w:val="00FB5F32"/>
    <w:rsid w:val="00FB6AB0"/>
    <w:rsid w:val="00FB7546"/>
    <w:rsid w:val="00FC0A4A"/>
    <w:rsid w:val="00FC1473"/>
    <w:rsid w:val="00FC284D"/>
    <w:rsid w:val="00FC36C3"/>
    <w:rsid w:val="00FC3A83"/>
    <w:rsid w:val="00FC4467"/>
    <w:rsid w:val="00FC4F8D"/>
    <w:rsid w:val="00FC620C"/>
    <w:rsid w:val="00FC64D1"/>
    <w:rsid w:val="00FC7360"/>
    <w:rsid w:val="00FC7B37"/>
    <w:rsid w:val="00FD0725"/>
    <w:rsid w:val="00FD0AF6"/>
    <w:rsid w:val="00FD0C1C"/>
    <w:rsid w:val="00FD0EC5"/>
    <w:rsid w:val="00FD145E"/>
    <w:rsid w:val="00FD1D3E"/>
    <w:rsid w:val="00FD33CE"/>
    <w:rsid w:val="00FD35D5"/>
    <w:rsid w:val="00FD39D3"/>
    <w:rsid w:val="00FD3EF3"/>
    <w:rsid w:val="00FD4B46"/>
    <w:rsid w:val="00FD634F"/>
    <w:rsid w:val="00FE369B"/>
    <w:rsid w:val="00FE383B"/>
    <w:rsid w:val="00FE546C"/>
    <w:rsid w:val="00FE6C72"/>
    <w:rsid w:val="00FE70B8"/>
    <w:rsid w:val="00FF2383"/>
    <w:rsid w:val="00FF23C2"/>
    <w:rsid w:val="00FF3AC5"/>
    <w:rsid w:val="00FF40E1"/>
    <w:rsid w:val="00FF615D"/>
    <w:rsid w:val="00FF795C"/>
    <w:rsid w:val="12347D61"/>
    <w:rsid w:val="2E040793"/>
    <w:rsid w:val="638D7B56"/>
    <w:rsid w:val="65D8256C"/>
    <w:rsid w:val="67AF2842"/>
    <w:rsid w:val="684B3874"/>
    <w:rsid w:val="6E2101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宋体" w:cs="Times New Roman"/>
      <w:kern w:val="2"/>
      <w:sz w:val="24"/>
      <w:szCs w:val="24"/>
      <w:lang w:val="en-US" w:eastAsia="zh-CN" w:bidi="ar-SA"/>
    </w:rPr>
  </w:style>
  <w:style w:type="paragraph" w:styleId="2">
    <w:name w:val="heading 1"/>
    <w:basedOn w:val="1"/>
    <w:next w:val="1"/>
    <w:link w:val="54"/>
    <w:qFormat/>
    <w:uiPriority w:val="0"/>
    <w:pPr>
      <w:keepNext/>
      <w:keepLines/>
      <w:spacing w:before="340" w:after="330" w:line="576" w:lineRule="auto"/>
      <w:outlineLvl w:val="0"/>
    </w:pPr>
    <w:rPr>
      <w:rFonts w:ascii="Times New Roman" w:hAnsi="Times New Roman"/>
      <w:kern w:val="44"/>
      <w:sz w:val="44"/>
      <w:szCs w:val="44"/>
    </w:rPr>
  </w:style>
  <w:style w:type="paragraph" w:styleId="3">
    <w:name w:val="heading 2"/>
    <w:basedOn w:val="1"/>
    <w:next w:val="1"/>
    <w:link w:val="55"/>
    <w:qFormat/>
    <w:uiPriority w:val="0"/>
    <w:pPr>
      <w:keepNext/>
      <w:keepLines/>
      <w:spacing w:before="260" w:after="260" w:line="408" w:lineRule="auto"/>
      <w:outlineLvl w:val="1"/>
    </w:pPr>
    <w:rPr>
      <w:rFonts w:ascii="Arial" w:hAnsi="Arial" w:eastAsia="黑体"/>
      <w:b/>
      <w:bCs/>
      <w:kern w:val="0"/>
      <w:sz w:val="32"/>
      <w:szCs w:val="32"/>
    </w:rPr>
  </w:style>
  <w:style w:type="paragraph" w:styleId="4">
    <w:name w:val="heading 3"/>
    <w:basedOn w:val="1"/>
    <w:next w:val="1"/>
    <w:link w:val="56"/>
    <w:qFormat/>
    <w:uiPriority w:val="0"/>
    <w:pPr>
      <w:keepNext/>
      <w:keepLines/>
      <w:spacing w:before="260" w:after="260" w:line="413" w:lineRule="auto"/>
      <w:outlineLvl w:val="2"/>
    </w:pPr>
    <w:rPr>
      <w:b/>
      <w:bCs/>
      <w:sz w:val="32"/>
      <w:szCs w:val="32"/>
    </w:rPr>
  </w:style>
  <w:style w:type="paragraph" w:styleId="5">
    <w:name w:val="heading 4"/>
    <w:basedOn w:val="1"/>
    <w:next w:val="6"/>
    <w:link w:val="57"/>
    <w:qFormat/>
    <w:uiPriority w:val="0"/>
    <w:pPr>
      <w:keepNext/>
      <w:spacing w:line="360" w:lineRule="auto"/>
      <w:jc w:val="center"/>
      <w:outlineLvl w:val="3"/>
    </w:pPr>
    <w:rPr>
      <w:rFonts w:ascii="Times New Roman" w:hAnsi="Times New Roman"/>
      <w:sz w:val="28"/>
      <w:szCs w:val="20"/>
    </w:rPr>
  </w:style>
  <w:style w:type="paragraph" w:styleId="7">
    <w:name w:val="heading 5"/>
    <w:basedOn w:val="1"/>
    <w:next w:val="1"/>
    <w:link w:val="58"/>
    <w:qFormat/>
    <w:uiPriority w:val="0"/>
    <w:pPr>
      <w:keepNext/>
      <w:keepLines/>
      <w:spacing w:before="280" w:after="290" w:line="372" w:lineRule="auto"/>
      <w:outlineLvl w:val="4"/>
    </w:pPr>
    <w:rPr>
      <w:rFonts w:ascii="Times New Roman" w:hAnsi="Times New Roman"/>
      <w:b/>
      <w:bCs/>
      <w:szCs w:val="28"/>
    </w:rPr>
  </w:style>
  <w:style w:type="paragraph" w:styleId="8">
    <w:name w:val="heading 6"/>
    <w:basedOn w:val="1"/>
    <w:next w:val="1"/>
    <w:link w:val="59"/>
    <w:qFormat/>
    <w:uiPriority w:val="0"/>
    <w:pPr>
      <w:keepNext/>
      <w:keepLines/>
      <w:spacing w:before="240" w:after="64" w:line="317" w:lineRule="auto"/>
      <w:outlineLvl w:val="5"/>
    </w:pPr>
    <w:rPr>
      <w:rFonts w:ascii="Arial" w:hAnsi="Arial" w:eastAsia="黑体"/>
      <w:b/>
      <w:bCs/>
    </w:rPr>
  </w:style>
  <w:style w:type="paragraph" w:styleId="9">
    <w:name w:val="heading 7"/>
    <w:basedOn w:val="1"/>
    <w:next w:val="1"/>
    <w:link w:val="60"/>
    <w:qFormat/>
    <w:uiPriority w:val="0"/>
    <w:pPr>
      <w:keepNext/>
      <w:keepLines/>
      <w:spacing w:before="240" w:after="64" w:line="317" w:lineRule="auto"/>
      <w:outlineLvl w:val="6"/>
    </w:pPr>
    <w:rPr>
      <w:rFonts w:ascii="Times New Roman" w:hAnsi="Times New Roman"/>
      <w:b/>
      <w:bCs/>
    </w:rPr>
  </w:style>
  <w:style w:type="paragraph" w:styleId="10">
    <w:name w:val="heading 8"/>
    <w:basedOn w:val="1"/>
    <w:next w:val="1"/>
    <w:link w:val="61"/>
    <w:qFormat/>
    <w:uiPriority w:val="0"/>
    <w:pPr>
      <w:keepNext/>
      <w:keepLines/>
      <w:spacing w:before="240" w:after="64" w:line="317" w:lineRule="auto"/>
      <w:outlineLvl w:val="7"/>
    </w:pPr>
    <w:rPr>
      <w:rFonts w:ascii="Arial" w:hAnsi="Arial" w:eastAsia="黑体"/>
    </w:rPr>
  </w:style>
  <w:style w:type="paragraph" w:styleId="11">
    <w:name w:val="heading 9"/>
    <w:basedOn w:val="1"/>
    <w:next w:val="1"/>
    <w:link w:val="62"/>
    <w:qFormat/>
    <w:uiPriority w:val="0"/>
    <w:pPr>
      <w:keepNext/>
      <w:keepLines/>
      <w:spacing w:before="240" w:after="64" w:line="317" w:lineRule="auto"/>
      <w:outlineLvl w:val="8"/>
    </w:pPr>
    <w:rPr>
      <w:rFonts w:ascii="Arial" w:hAnsi="Arial" w:eastAsia="黑体"/>
      <w:szCs w:val="21"/>
    </w:r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6">
    <w:name w:val="Normal Indent"/>
    <w:basedOn w:val="1"/>
    <w:link w:val="63"/>
    <w:qFormat/>
    <w:uiPriority w:val="0"/>
    <w:pPr>
      <w:autoSpaceDE w:val="0"/>
      <w:autoSpaceDN w:val="0"/>
      <w:spacing w:line="360" w:lineRule="auto"/>
      <w:ind w:left="181" w:firstLine="420"/>
    </w:pPr>
    <w:rPr>
      <w:rFonts w:ascii="Times New Roman" w:hAnsi="Times New Roman"/>
      <w:szCs w:val="20"/>
    </w:rPr>
  </w:style>
  <w:style w:type="paragraph" w:styleId="12">
    <w:name w:val="toc 7"/>
    <w:basedOn w:val="1"/>
    <w:next w:val="1"/>
    <w:qFormat/>
    <w:uiPriority w:val="0"/>
    <w:pPr>
      <w:ind w:left="1440"/>
      <w:jc w:val="left"/>
    </w:pPr>
    <w:rPr>
      <w:rFonts w:ascii="Calibri" w:hAnsi="Calibri"/>
      <w:sz w:val="18"/>
      <w:szCs w:val="18"/>
    </w:rPr>
  </w:style>
  <w:style w:type="paragraph" w:styleId="13">
    <w:name w:val="caption"/>
    <w:basedOn w:val="1"/>
    <w:next w:val="1"/>
    <w:qFormat/>
    <w:uiPriority w:val="35"/>
    <w:rPr>
      <w:rFonts w:ascii="Cambria" w:hAnsi="Cambria" w:eastAsia="黑体"/>
      <w:sz w:val="20"/>
      <w:szCs w:val="20"/>
    </w:rPr>
  </w:style>
  <w:style w:type="paragraph" w:styleId="14">
    <w:name w:val="Document Map"/>
    <w:basedOn w:val="1"/>
    <w:link w:val="86"/>
    <w:qFormat/>
    <w:uiPriority w:val="0"/>
    <w:pPr>
      <w:shd w:val="clear" w:color="auto" w:fill="000080"/>
    </w:pPr>
  </w:style>
  <w:style w:type="paragraph" w:styleId="15">
    <w:name w:val="annotation text"/>
    <w:basedOn w:val="1"/>
    <w:link w:val="91"/>
    <w:unhideWhenUsed/>
    <w:qFormat/>
    <w:uiPriority w:val="0"/>
    <w:pPr>
      <w:jc w:val="left"/>
    </w:pPr>
  </w:style>
  <w:style w:type="paragraph" w:styleId="16">
    <w:name w:val="Body Text 3"/>
    <w:basedOn w:val="1"/>
    <w:link w:val="205"/>
    <w:qFormat/>
    <w:uiPriority w:val="0"/>
    <w:pPr>
      <w:spacing w:after="120"/>
    </w:pPr>
    <w:rPr>
      <w:rFonts w:ascii="Times New Roman" w:hAnsi="Times New Roman"/>
      <w:sz w:val="16"/>
      <w:szCs w:val="16"/>
    </w:rPr>
  </w:style>
  <w:style w:type="paragraph" w:styleId="17">
    <w:name w:val="Body Text"/>
    <w:basedOn w:val="1"/>
    <w:link w:val="83"/>
    <w:qFormat/>
    <w:uiPriority w:val="0"/>
    <w:pPr>
      <w:widowControl/>
      <w:spacing w:before="100" w:beforeAutospacing="1" w:after="100" w:afterAutospacing="1"/>
      <w:jc w:val="left"/>
    </w:pPr>
    <w:rPr>
      <w:rFonts w:hint="eastAsia" w:ascii="宋体" w:hAnsi="宋体"/>
      <w:kern w:val="0"/>
    </w:rPr>
  </w:style>
  <w:style w:type="paragraph" w:styleId="18">
    <w:name w:val="Body Text Indent"/>
    <w:basedOn w:val="1"/>
    <w:link w:val="84"/>
    <w:unhideWhenUsed/>
    <w:qFormat/>
    <w:uiPriority w:val="0"/>
    <w:pPr>
      <w:spacing w:after="120"/>
      <w:ind w:left="420" w:leftChars="200"/>
    </w:pPr>
  </w:style>
  <w:style w:type="paragraph" w:styleId="19">
    <w:name w:val="Block Text"/>
    <w:basedOn w:val="1"/>
    <w:qFormat/>
    <w:uiPriority w:val="0"/>
    <w:pPr>
      <w:ind w:left="718" w:leftChars="342" w:right="25" w:rightChars="12" w:firstLine="2" w:firstLineChars="1"/>
    </w:pPr>
    <w:rPr>
      <w:rFonts w:ascii="Times New Roman" w:hAnsi="Times New Roman"/>
      <w:sz w:val="21"/>
    </w:rPr>
  </w:style>
  <w:style w:type="paragraph" w:styleId="20">
    <w:name w:val="toc 5"/>
    <w:basedOn w:val="1"/>
    <w:next w:val="1"/>
    <w:qFormat/>
    <w:uiPriority w:val="0"/>
    <w:pPr>
      <w:ind w:left="960"/>
      <w:jc w:val="left"/>
    </w:pPr>
    <w:rPr>
      <w:rFonts w:ascii="Calibri" w:hAnsi="Calibri"/>
      <w:sz w:val="18"/>
      <w:szCs w:val="18"/>
    </w:rPr>
  </w:style>
  <w:style w:type="paragraph" w:styleId="21">
    <w:name w:val="toc 3"/>
    <w:basedOn w:val="1"/>
    <w:next w:val="1"/>
    <w:qFormat/>
    <w:uiPriority w:val="39"/>
    <w:pPr>
      <w:ind w:left="480"/>
      <w:jc w:val="left"/>
    </w:pPr>
    <w:rPr>
      <w:rFonts w:ascii="Calibri" w:hAnsi="Calibri"/>
      <w:i/>
      <w:iCs/>
      <w:sz w:val="20"/>
      <w:szCs w:val="20"/>
    </w:rPr>
  </w:style>
  <w:style w:type="paragraph" w:styleId="22">
    <w:name w:val="Plain Text"/>
    <w:basedOn w:val="1"/>
    <w:link w:val="65"/>
    <w:qFormat/>
    <w:uiPriority w:val="0"/>
    <w:pPr>
      <w:spacing w:line="360" w:lineRule="auto"/>
    </w:pPr>
    <w:rPr>
      <w:rFonts w:ascii="宋体" w:hAnsi="Courier New" w:cstheme="minorBidi"/>
      <w:szCs w:val="21"/>
    </w:rPr>
  </w:style>
  <w:style w:type="paragraph" w:styleId="23">
    <w:name w:val="toc 8"/>
    <w:basedOn w:val="1"/>
    <w:next w:val="1"/>
    <w:qFormat/>
    <w:uiPriority w:val="0"/>
    <w:pPr>
      <w:ind w:left="1680"/>
      <w:jc w:val="left"/>
    </w:pPr>
    <w:rPr>
      <w:rFonts w:ascii="Calibri" w:hAnsi="Calibri"/>
      <w:sz w:val="18"/>
      <w:szCs w:val="18"/>
    </w:rPr>
  </w:style>
  <w:style w:type="paragraph" w:styleId="24">
    <w:name w:val="Date"/>
    <w:basedOn w:val="1"/>
    <w:next w:val="1"/>
    <w:link w:val="88"/>
    <w:qFormat/>
    <w:uiPriority w:val="0"/>
    <w:rPr>
      <w:rFonts w:ascii="Times New Roman" w:hAnsi="Times New Roman"/>
      <w:sz w:val="28"/>
      <w:szCs w:val="20"/>
    </w:rPr>
  </w:style>
  <w:style w:type="paragraph" w:styleId="25">
    <w:name w:val="Body Text Indent 2"/>
    <w:basedOn w:val="1"/>
    <w:link w:val="87"/>
    <w:qFormat/>
    <w:uiPriority w:val="0"/>
    <w:pPr>
      <w:ind w:left="718" w:leftChars="342"/>
    </w:pPr>
    <w:rPr>
      <w:rFonts w:ascii="Times New Roman" w:hAnsi="Times New Roman"/>
      <w:sz w:val="28"/>
    </w:rPr>
  </w:style>
  <w:style w:type="paragraph" w:styleId="26">
    <w:name w:val="Balloon Text"/>
    <w:basedOn w:val="1"/>
    <w:link w:val="94"/>
    <w:qFormat/>
    <w:uiPriority w:val="0"/>
    <w:rPr>
      <w:sz w:val="18"/>
      <w:szCs w:val="18"/>
    </w:rPr>
  </w:style>
  <w:style w:type="paragraph" w:styleId="27">
    <w:name w:val="footer"/>
    <w:basedOn w:val="1"/>
    <w:link w:val="53"/>
    <w:unhideWhenUsed/>
    <w:qFormat/>
    <w:uiPriority w:val="99"/>
    <w:pPr>
      <w:tabs>
        <w:tab w:val="center" w:pos="4153"/>
        <w:tab w:val="right" w:pos="8306"/>
      </w:tabs>
      <w:snapToGrid w:val="0"/>
      <w:jc w:val="left"/>
    </w:pPr>
    <w:rPr>
      <w:sz w:val="18"/>
      <w:szCs w:val="18"/>
    </w:rPr>
  </w:style>
  <w:style w:type="paragraph" w:styleId="28">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0"/>
    <w:pPr>
      <w:ind w:left="720"/>
      <w:jc w:val="left"/>
    </w:pPr>
    <w:rPr>
      <w:rFonts w:ascii="Calibri" w:hAnsi="Calibri"/>
      <w:sz w:val="18"/>
      <w:szCs w:val="18"/>
    </w:rPr>
  </w:style>
  <w:style w:type="paragraph" w:styleId="31">
    <w:name w:val="index heading"/>
    <w:basedOn w:val="1"/>
    <w:next w:val="32"/>
    <w:qFormat/>
    <w:uiPriority w:val="0"/>
    <w:rPr>
      <w:rFonts w:ascii="Times New Roman" w:hAnsi="Times New Roman"/>
      <w:sz w:val="21"/>
      <w:szCs w:val="20"/>
    </w:rPr>
  </w:style>
  <w:style w:type="paragraph" w:styleId="32">
    <w:name w:val="index 1"/>
    <w:basedOn w:val="1"/>
    <w:next w:val="1"/>
    <w:unhideWhenUsed/>
    <w:qFormat/>
    <w:uiPriority w:val="0"/>
  </w:style>
  <w:style w:type="paragraph" w:styleId="33">
    <w:name w:val="toc 6"/>
    <w:basedOn w:val="1"/>
    <w:next w:val="1"/>
    <w:qFormat/>
    <w:uiPriority w:val="0"/>
    <w:pPr>
      <w:ind w:left="1200"/>
      <w:jc w:val="left"/>
    </w:pPr>
    <w:rPr>
      <w:rFonts w:ascii="Calibri" w:hAnsi="Calibri"/>
      <w:sz w:val="18"/>
      <w:szCs w:val="18"/>
    </w:rPr>
  </w:style>
  <w:style w:type="paragraph" w:styleId="34">
    <w:name w:val="Body Text Indent 3"/>
    <w:basedOn w:val="1"/>
    <w:link w:val="93"/>
    <w:qFormat/>
    <w:uiPriority w:val="0"/>
    <w:pPr>
      <w:spacing w:after="120"/>
      <w:ind w:left="420" w:leftChars="200"/>
    </w:pPr>
    <w:rPr>
      <w:sz w:val="16"/>
      <w:szCs w:val="16"/>
    </w:rPr>
  </w:style>
  <w:style w:type="paragraph" w:styleId="35">
    <w:name w:val="toc 2"/>
    <w:basedOn w:val="1"/>
    <w:next w:val="1"/>
    <w:qFormat/>
    <w:uiPriority w:val="39"/>
    <w:pPr>
      <w:ind w:left="240"/>
      <w:jc w:val="left"/>
    </w:pPr>
    <w:rPr>
      <w:rFonts w:ascii="Calibri" w:hAnsi="Calibri"/>
      <w:smallCaps/>
      <w:sz w:val="20"/>
      <w:szCs w:val="20"/>
    </w:rPr>
  </w:style>
  <w:style w:type="paragraph" w:styleId="36">
    <w:name w:val="toc 9"/>
    <w:basedOn w:val="1"/>
    <w:next w:val="1"/>
    <w:qFormat/>
    <w:uiPriority w:val="0"/>
    <w:pPr>
      <w:ind w:left="1920"/>
      <w:jc w:val="left"/>
    </w:pPr>
    <w:rPr>
      <w:rFonts w:ascii="Calibri" w:hAnsi="Calibri"/>
      <w:sz w:val="18"/>
      <w:szCs w:val="18"/>
    </w:rPr>
  </w:style>
  <w:style w:type="paragraph" w:styleId="37">
    <w:name w:val="Body Text 2"/>
    <w:basedOn w:val="1"/>
    <w:link w:val="89"/>
    <w:qFormat/>
    <w:uiPriority w:val="0"/>
    <w:rPr>
      <w:rFonts w:hint="eastAsia" w:ascii="宋体" w:hAnsi="宋体"/>
      <w:b/>
      <w:bCs/>
      <w:sz w:val="28"/>
    </w:rPr>
  </w:style>
  <w:style w:type="paragraph" w:styleId="38">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楷体_GB2312"/>
      <w:sz w:val="21"/>
      <w:szCs w:val="22"/>
    </w:rPr>
  </w:style>
  <w:style w:type="paragraph" w:styleId="3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rPr>
  </w:style>
  <w:style w:type="paragraph" w:styleId="40">
    <w:name w:val="Title"/>
    <w:basedOn w:val="1"/>
    <w:link w:val="95"/>
    <w:qFormat/>
    <w:uiPriority w:val="0"/>
    <w:pPr>
      <w:spacing w:before="240" w:after="60"/>
      <w:jc w:val="center"/>
      <w:outlineLvl w:val="0"/>
    </w:pPr>
    <w:rPr>
      <w:rFonts w:ascii="Arial" w:hAnsi="Arial" w:cs="Arial"/>
      <w:b/>
      <w:bCs/>
      <w:sz w:val="32"/>
      <w:szCs w:val="32"/>
    </w:rPr>
  </w:style>
  <w:style w:type="paragraph" w:styleId="41">
    <w:name w:val="annotation subject"/>
    <w:basedOn w:val="15"/>
    <w:next w:val="15"/>
    <w:link w:val="92"/>
    <w:qFormat/>
    <w:uiPriority w:val="0"/>
    <w:rPr>
      <w:b/>
      <w:bCs/>
    </w:rPr>
  </w:style>
  <w:style w:type="paragraph" w:styleId="42">
    <w:name w:val="Body Text First Indent"/>
    <w:basedOn w:val="17"/>
    <w:link w:val="90"/>
    <w:qFormat/>
    <w:uiPriority w:val="0"/>
    <w:pPr>
      <w:widowControl w:val="0"/>
      <w:spacing w:before="0" w:beforeAutospacing="0" w:after="120" w:afterAutospacing="0"/>
      <w:ind w:firstLine="420" w:firstLineChars="100"/>
      <w:jc w:val="both"/>
    </w:pPr>
    <w:rPr>
      <w:rFonts w:hint="default" w:ascii="Tahoma" w:hAnsi="Tahoma"/>
      <w:kern w:val="2"/>
    </w:rPr>
  </w:style>
  <w:style w:type="paragraph" w:styleId="43">
    <w:name w:val="Body Text First Indent 2"/>
    <w:basedOn w:val="18"/>
    <w:link w:val="85"/>
    <w:qFormat/>
    <w:uiPriority w:val="0"/>
    <w:pPr>
      <w:snapToGrid w:val="0"/>
      <w:spacing w:line="360" w:lineRule="auto"/>
      <w:ind w:left="0" w:leftChars="0" w:firstLine="420" w:firstLineChars="200"/>
    </w:pPr>
    <w:rPr>
      <w:sz w:val="28"/>
    </w:rPr>
  </w:style>
  <w:style w:type="table" w:styleId="45">
    <w:name w:val="Table Grid"/>
    <w:basedOn w:val="44"/>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99"/>
    <w:rPr>
      <w:color w:val="800080"/>
      <w:u w:val="single"/>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character" w:customStyle="1" w:styleId="52">
    <w:name w:val="页眉 字符"/>
    <w:basedOn w:val="46"/>
    <w:link w:val="28"/>
    <w:qFormat/>
    <w:uiPriority w:val="99"/>
    <w:rPr>
      <w:sz w:val="18"/>
      <w:szCs w:val="18"/>
    </w:rPr>
  </w:style>
  <w:style w:type="character" w:customStyle="1" w:styleId="53">
    <w:name w:val="页脚 字符"/>
    <w:basedOn w:val="46"/>
    <w:link w:val="27"/>
    <w:qFormat/>
    <w:uiPriority w:val="99"/>
    <w:rPr>
      <w:sz w:val="18"/>
      <w:szCs w:val="18"/>
    </w:rPr>
  </w:style>
  <w:style w:type="character" w:customStyle="1" w:styleId="54">
    <w:name w:val="标题 1 字符"/>
    <w:basedOn w:val="46"/>
    <w:link w:val="2"/>
    <w:qFormat/>
    <w:uiPriority w:val="0"/>
    <w:rPr>
      <w:rFonts w:ascii="Times New Roman" w:hAnsi="Times New Roman" w:eastAsia="宋体" w:cs="Times New Roman"/>
      <w:kern w:val="44"/>
      <w:sz w:val="44"/>
      <w:szCs w:val="44"/>
    </w:rPr>
  </w:style>
  <w:style w:type="character" w:customStyle="1" w:styleId="55">
    <w:name w:val="标题 2 字符"/>
    <w:basedOn w:val="46"/>
    <w:link w:val="3"/>
    <w:qFormat/>
    <w:uiPriority w:val="0"/>
    <w:rPr>
      <w:rFonts w:ascii="Arial" w:hAnsi="Arial" w:eastAsia="黑体" w:cs="Times New Roman"/>
      <w:b/>
      <w:bCs/>
      <w:kern w:val="0"/>
      <w:sz w:val="32"/>
      <w:szCs w:val="32"/>
    </w:rPr>
  </w:style>
  <w:style w:type="character" w:customStyle="1" w:styleId="56">
    <w:name w:val="标题 3 字符"/>
    <w:basedOn w:val="46"/>
    <w:link w:val="4"/>
    <w:qFormat/>
    <w:uiPriority w:val="0"/>
    <w:rPr>
      <w:rFonts w:ascii="Tahoma" w:hAnsi="Tahoma" w:eastAsia="宋体" w:cs="Times New Roman"/>
      <w:b/>
      <w:bCs/>
      <w:sz w:val="32"/>
      <w:szCs w:val="32"/>
    </w:rPr>
  </w:style>
  <w:style w:type="character" w:customStyle="1" w:styleId="57">
    <w:name w:val="标题 4 字符"/>
    <w:basedOn w:val="46"/>
    <w:link w:val="5"/>
    <w:qFormat/>
    <w:uiPriority w:val="0"/>
    <w:rPr>
      <w:rFonts w:ascii="Times New Roman" w:hAnsi="Times New Roman" w:eastAsia="宋体" w:cs="Times New Roman"/>
      <w:sz w:val="28"/>
      <w:szCs w:val="20"/>
    </w:rPr>
  </w:style>
  <w:style w:type="character" w:customStyle="1" w:styleId="58">
    <w:name w:val="标题 5 字符"/>
    <w:basedOn w:val="46"/>
    <w:link w:val="7"/>
    <w:qFormat/>
    <w:uiPriority w:val="0"/>
    <w:rPr>
      <w:rFonts w:ascii="Times New Roman" w:hAnsi="Times New Roman" w:eastAsia="宋体" w:cs="Times New Roman"/>
      <w:b/>
      <w:bCs/>
      <w:sz w:val="24"/>
      <w:szCs w:val="28"/>
    </w:rPr>
  </w:style>
  <w:style w:type="character" w:customStyle="1" w:styleId="59">
    <w:name w:val="标题 6 字符"/>
    <w:basedOn w:val="46"/>
    <w:link w:val="8"/>
    <w:qFormat/>
    <w:uiPriority w:val="0"/>
    <w:rPr>
      <w:rFonts w:ascii="Arial" w:hAnsi="Arial" w:eastAsia="黑体" w:cs="Times New Roman"/>
      <w:b/>
      <w:bCs/>
      <w:sz w:val="24"/>
      <w:szCs w:val="24"/>
    </w:rPr>
  </w:style>
  <w:style w:type="character" w:customStyle="1" w:styleId="60">
    <w:name w:val="标题 7 字符"/>
    <w:basedOn w:val="46"/>
    <w:link w:val="9"/>
    <w:qFormat/>
    <w:uiPriority w:val="0"/>
    <w:rPr>
      <w:rFonts w:ascii="Times New Roman" w:hAnsi="Times New Roman" w:eastAsia="宋体" w:cs="Times New Roman"/>
      <w:b/>
      <w:bCs/>
      <w:sz w:val="24"/>
      <w:szCs w:val="24"/>
    </w:rPr>
  </w:style>
  <w:style w:type="character" w:customStyle="1" w:styleId="61">
    <w:name w:val="标题 8 字符"/>
    <w:basedOn w:val="46"/>
    <w:link w:val="10"/>
    <w:qFormat/>
    <w:uiPriority w:val="0"/>
    <w:rPr>
      <w:rFonts w:ascii="Arial" w:hAnsi="Arial" w:eastAsia="黑体" w:cs="Times New Roman"/>
      <w:sz w:val="24"/>
      <w:szCs w:val="24"/>
    </w:rPr>
  </w:style>
  <w:style w:type="character" w:customStyle="1" w:styleId="62">
    <w:name w:val="标题 9 字符"/>
    <w:basedOn w:val="46"/>
    <w:link w:val="11"/>
    <w:qFormat/>
    <w:uiPriority w:val="0"/>
    <w:rPr>
      <w:rFonts w:ascii="Arial" w:hAnsi="Arial" w:eastAsia="黑体" w:cs="Times New Roman"/>
      <w:sz w:val="24"/>
      <w:szCs w:val="21"/>
    </w:rPr>
  </w:style>
  <w:style w:type="character" w:customStyle="1" w:styleId="63">
    <w:name w:val="正文缩进 字符"/>
    <w:link w:val="6"/>
    <w:qFormat/>
    <w:uiPriority w:val="0"/>
    <w:rPr>
      <w:rFonts w:ascii="Times New Roman" w:hAnsi="Times New Roman" w:eastAsia="宋体" w:cs="Times New Roman"/>
      <w:sz w:val="24"/>
      <w:szCs w:val="20"/>
    </w:rPr>
  </w:style>
  <w:style w:type="character" w:customStyle="1" w:styleId="64">
    <w:name w:val="p141"/>
    <w:qFormat/>
    <w:uiPriority w:val="0"/>
    <w:rPr>
      <w:sz w:val="21"/>
      <w:szCs w:val="21"/>
    </w:rPr>
  </w:style>
  <w:style w:type="character" w:customStyle="1" w:styleId="65">
    <w:name w:val="纯文本 字符"/>
    <w:link w:val="22"/>
    <w:qFormat/>
    <w:uiPriority w:val="0"/>
    <w:rPr>
      <w:rFonts w:ascii="宋体" w:hAnsi="Courier New" w:eastAsia="宋体"/>
      <w:sz w:val="24"/>
      <w:szCs w:val="21"/>
    </w:rPr>
  </w:style>
  <w:style w:type="character" w:customStyle="1" w:styleId="66">
    <w:name w:val="纯文本 Char1"/>
    <w:basedOn w:val="46"/>
    <w:qFormat/>
    <w:uiPriority w:val="0"/>
    <w:rPr>
      <w:rFonts w:ascii="宋体" w:hAnsi="Courier New" w:eastAsia="宋体" w:cs="Courier New"/>
      <w:szCs w:val="21"/>
    </w:rPr>
  </w:style>
  <w:style w:type="character" w:customStyle="1" w:styleId="67">
    <w:name w:val="表正文 Char"/>
    <w:qFormat/>
    <w:uiPriority w:val="0"/>
    <w:rPr>
      <w:rFonts w:eastAsia="宋体"/>
      <w:sz w:val="21"/>
      <w:lang w:val="en-US" w:eastAsia="zh-CN" w:bidi="ar-SA"/>
    </w:rPr>
  </w:style>
  <w:style w:type="character" w:customStyle="1" w:styleId="68">
    <w:name w:val="norm10pt1"/>
    <w:qFormat/>
    <w:uiPriority w:val="0"/>
    <w:rPr>
      <w:sz w:val="20"/>
    </w:rPr>
  </w:style>
  <w:style w:type="character" w:customStyle="1" w:styleId="69">
    <w:name w:val="small"/>
    <w:basedOn w:val="46"/>
    <w:qFormat/>
    <w:uiPriority w:val="0"/>
  </w:style>
  <w:style w:type="character" w:customStyle="1" w:styleId="70">
    <w:name w:val="表格文字 Char"/>
    <w:link w:val="71"/>
    <w:qFormat/>
    <w:uiPriority w:val="0"/>
    <w:rPr>
      <w:rFonts w:ascii="Times" w:hAnsi="Times"/>
      <w:spacing w:val="10"/>
      <w:sz w:val="24"/>
    </w:rPr>
  </w:style>
  <w:style w:type="paragraph" w:customStyle="1" w:styleId="71">
    <w:name w:val="表格文字"/>
    <w:basedOn w:val="1"/>
    <w:link w:val="70"/>
    <w:qFormat/>
    <w:uiPriority w:val="0"/>
    <w:pPr>
      <w:spacing w:before="25" w:after="25" w:line="300" w:lineRule="auto"/>
    </w:pPr>
    <w:rPr>
      <w:rFonts w:ascii="Times" w:hAnsi="Times" w:eastAsiaTheme="minorEastAsia" w:cstheme="minorBidi"/>
      <w:spacing w:val="10"/>
      <w:szCs w:val="22"/>
    </w:rPr>
  </w:style>
  <w:style w:type="character" w:customStyle="1" w:styleId="72">
    <w:name w:val="段落 Char1"/>
    <w:link w:val="73"/>
    <w:qFormat/>
    <w:uiPriority w:val="0"/>
    <w:rPr>
      <w:rFonts w:eastAsia="仿宋_GB2312"/>
      <w:sz w:val="24"/>
      <w:szCs w:val="24"/>
    </w:rPr>
  </w:style>
  <w:style w:type="paragraph" w:customStyle="1" w:styleId="73">
    <w:name w:val="段落"/>
    <w:link w:val="72"/>
    <w:qFormat/>
    <w:uiPriority w:val="0"/>
    <w:pPr>
      <w:adjustRightInd w:val="0"/>
      <w:snapToGrid w:val="0"/>
      <w:spacing w:before="120" w:after="120" w:line="360" w:lineRule="auto"/>
      <w:ind w:firstLine="480" w:firstLineChars="200"/>
      <w:jc w:val="both"/>
    </w:pPr>
    <w:rPr>
      <w:rFonts w:eastAsia="仿宋_GB2312" w:asciiTheme="minorHAnsi" w:hAnsiTheme="minorHAnsi" w:cstheme="minorBidi"/>
      <w:kern w:val="2"/>
      <w:sz w:val="24"/>
      <w:szCs w:val="24"/>
      <w:lang w:val="en-US" w:eastAsia="zh-CN" w:bidi="ar-SA"/>
    </w:rPr>
  </w:style>
  <w:style w:type="character" w:customStyle="1" w:styleId="74">
    <w:name w:val="reg"/>
    <w:basedOn w:val="46"/>
    <w:qFormat/>
    <w:uiPriority w:val="0"/>
  </w:style>
  <w:style w:type="character" w:customStyle="1" w:styleId="75">
    <w:name w:val="HTML 预设格式 字符"/>
    <w:link w:val="38"/>
    <w:qFormat/>
    <w:uiPriority w:val="0"/>
    <w:rPr>
      <w:rFonts w:ascii="Arial Unicode MS" w:hAnsi="Arial Unicode MS" w:eastAsia="Arial Unicode MS" w:cs="楷体_GB2312"/>
    </w:rPr>
  </w:style>
  <w:style w:type="character" w:customStyle="1" w:styleId="76">
    <w:name w:val="HTML 预设格式 Char1"/>
    <w:basedOn w:val="46"/>
    <w:semiHidden/>
    <w:uiPriority w:val="99"/>
    <w:rPr>
      <w:rFonts w:ascii="Courier New" w:hAnsi="Courier New" w:eastAsia="宋体" w:cs="Courier New"/>
      <w:sz w:val="20"/>
      <w:szCs w:val="20"/>
    </w:rPr>
  </w:style>
  <w:style w:type="character" w:customStyle="1" w:styleId="77">
    <w:name w:val="正文1[858D7CFB-ED40-4347-BF05-701D383B685F]"/>
    <w:link w:val="78"/>
    <w:uiPriority w:val="0"/>
    <w:rPr>
      <w:rFonts w:ascii="宋体" w:hAnsi="Times New Roman"/>
      <w:szCs w:val="20"/>
    </w:rPr>
  </w:style>
  <w:style w:type="paragraph" w:customStyle="1" w:styleId="78">
    <w:name w:val="正文1"/>
    <w:basedOn w:val="1"/>
    <w:link w:val="77"/>
    <w:qFormat/>
    <w:uiPriority w:val="0"/>
    <w:pPr>
      <w:tabs>
        <w:tab w:val="center" w:pos="1440"/>
        <w:tab w:val="left" w:pos="5720"/>
      </w:tabs>
      <w:spacing w:line="360" w:lineRule="auto"/>
      <w:ind w:firstLine="480" w:firstLineChars="200"/>
      <w:jc w:val="left"/>
    </w:pPr>
    <w:rPr>
      <w:rFonts w:ascii="宋体" w:hAnsi="Times New Roman" w:eastAsiaTheme="minorEastAsia" w:cstheme="minorBidi"/>
      <w:sz w:val="21"/>
      <w:szCs w:val="20"/>
    </w:rPr>
  </w:style>
  <w:style w:type="character" w:customStyle="1" w:styleId="79">
    <w:name w:val="表格样式居左 Char"/>
    <w:link w:val="80"/>
    <w:uiPriority w:val="0"/>
    <w:rPr>
      <w:rFonts w:eastAsia="仿宋_GB2312"/>
      <w:bCs/>
      <w:szCs w:val="44"/>
    </w:rPr>
  </w:style>
  <w:style w:type="paragraph" w:customStyle="1" w:styleId="80">
    <w:name w:val="表格样式居左"/>
    <w:link w:val="79"/>
    <w:uiPriority w:val="0"/>
    <w:pPr>
      <w:adjustRightInd w:val="0"/>
      <w:snapToGrid w:val="0"/>
    </w:pPr>
    <w:rPr>
      <w:rFonts w:eastAsia="仿宋_GB2312" w:asciiTheme="minorHAnsi" w:hAnsiTheme="minorHAnsi" w:cstheme="minorBidi"/>
      <w:bCs/>
      <w:kern w:val="2"/>
      <w:sz w:val="21"/>
      <w:szCs w:val="44"/>
      <w:lang w:val="en-US" w:eastAsia="zh-CN" w:bidi="ar-SA"/>
    </w:rPr>
  </w:style>
  <w:style w:type="character" w:customStyle="1" w:styleId="81">
    <w:name w:val="cjn1"/>
    <w:qFormat/>
    <w:uiPriority w:val="0"/>
    <w:rPr>
      <w:rFonts w:hint="eastAsia" w:ascii="宋体" w:hAnsi="宋体" w:eastAsia="宋体"/>
      <w:sz w:val="22"/>
      <w:szCs w:val="22"/>
      <w:u w:val="none"/>
    </w:rPr>
  </w:style>
  <w:style w:type="character" w:customStyle="1" w:styleId="82">
    <w:name w:val="font14"/>
    <w:basedOn w:val="46"/>
    <w:qFormat/>
    <w:uiPriority w:val="0"/>
  </w:style>
  <w:style w:type="character" w:customStyle="1" w:styleId="83">
    <w:name w:val="正文文本 字符"/>
    <w:basedOn w:val="46"/>
    <w:link w:val="17"/>
    <w:qFormat/>
    <w:uiPriority w:val="0"/>
    <w:rPr>
      <w:rFonts w:ascii="宋体" w:hAnsi="宋体" w:eastAsia="宋体" w:cs="Times New Roman"/>
      <w:kern w:val="0"/>
      <w:sz w:val="24"/>
      <w:szCs w:val="24"/>
    </w:rPr>
  </w:style>
  <w:style w:type="character" w:customStyle="1" w:styleId="84">
    <w:name w:val="正文文本缩进 字符"/>
    <w:basedOn w:val="46"/>
    <w:link w:val="18"/>
    <w:qFormat/>
    <w:uiPriority w:val="0"/>
    <w:rPr>
      <w:rFonts w:ascii="Tahoma" w:hAnsi="Tahoma" w:eastAsia="宋体" w:cs="Times New Roman"/>
      <w:sz w:val="24"/>
      <w:szCs w:val="24"/>
    </w:rPr>
  </w:style>
  <w:style w:type="character" w:customStyle="1" w:styleId="85">
    <w:name w:val="正文首行缩进 2 字符"/>
    <w:basedOn w:val="84"/>
    <w:link w:val="43"/>
    <w:qFormat/>
    <w:uiPriority w:val="0"/>
    <w:rPr>
      <w:rFonts w:ascii="Tahoma" w:hAnsi="Tahoma" w:eastAsia="宋体" w:cs="Times New Roman"/>
      <w:sz w:val="28"/>
      <w:szCs w:val="24"/>
    </w:rPr>
  </w:style>
  <w:style w:type="character" w:customStyle="1" w:styleId="86">
    <w:name w:val="文档结构图 字符"/>
    <w:basedOn w:val="46"/>
    <w:link w:val="14"/>
    <w:qFormat/>
    <w:uiPriority w:val="0"/>
    <w:rPr>
      <w:rFonts w:ascii="Tahoma" w:hAnsi="Tahoma" w:eastAsia="宋体" w:cs="Times New Roman"/>
      <w:sz w:val="24"/>
      <w:szCs w:val="24"/>
      <w:shd w:val="clear" w:color="auto" w:fill="000080"/>
    </w:rPr>
  </w:style>
  <w:style w:type="character" w:customStyle="1" w:styleId="87">
    <w:name w:val="正文文本缩进 2 字符"/>
    <w:basedOn w:val="46"/>
    <w:link w:val="25"/>
    <w:qFormat/>
    <w:uiPriority w:val="0"/>
    <w:rPr>
      <w:rFonts w:ascii="Times New Roman" w:hAnsi="Times New Roman" w:eastAsia="宋体" w:cs="Times New Roman"/>
      <w:sz w:val="28"/>
      <w:szCs w:val="24"/>
    </w:rPr>
  </w:style>
  <w:style w:type="character" w:customStyle="1" w:styleId="88">
    <w:name w:val="日期 字符"/>
    <w:basedOn w:val="46"/>
    <w:link w:val="24"/>
    <w:qFormat/>
    <w:uiPriority w:val="0"/>
    <w:rPr>
      <w:rFonts w:ascii="Times New Roman" w:hAnsi="Times New Roman" w:eastAsia="宋体" w:cs="Times New Roman"/>
      <w:sz w:val="28"/>
      <w:szCs w:val="20"/>
    </w:rPr>
  </w:style>
  <w:style w:type="character" w:customStyle="1" w:styleId="89">
    <w:name w:val="正文文本 2 字符"/>
    <w:basedOn w:val="46"/>
    <w:link w:val="37"/>
    <w:qFormat/>
    <w:uiPriority w:val="0"/>
    <w:rPr>
      <w:rFonts w:ascii="宋体" w:hAnsi="宋体" w:eastAsia="宋体" w:cs="Times New Roman"/>
      <w:b/>
      <w:bCs/>
      <w:sz w:val="28"/>
      <w:szCs w:val="24"/>
    </w:rPr>
  </w:style>
  <w:style w:type="character" w:customStyle="1" w:styleId="90">
    <w:name w:val="正文首行缩进 字符"/>
    <w:basedOn w:val="83"/>
    <w:link w:val="42"/>
    <w:qFormat/>
    <w:uiPriority w:val="0"/>
    <w:rPr>
      <w:rFonts w:ascii="Tahoma" w:hAnsi="Tahoma" w:eastAsia="宋体" w:cs="Times New Roman"/>
      <w:kern w:val="0"/>
      <w:sz w:val="24"/>
      <w:szCs w:val="24"/>
    </w:rPr>
  </w:style>
  <w:style w:type="character" w:customStyle="1" w:styleId="91">
    <w:name w:val="批注文字 字符"/>
    <w:basedOn w:val="46"/>
    <w:link w:val="15"/>
    <w:qFormat/>
    <w:uiPriority w:val="0"/>
    <w:rPr>
      <w:rFonts w:ascii="Tahoma" w:hAnsi="Tahoma" w:eastAsia="宋体" w:cs="Times New Roman"/>
      <w:sz w:val="24"/>
      <w:szCs w:val="24"/>
    </w:rPr>
  </w:style>
  <w:style w:type="character" w:customStyle="1" w:styleId="92">
    <w:name w:val="批注主题 字符"/>
    <w:basedOn w:val="91"/>
    <w:link w:val="41"/>
    <w:qFormat/>
    <w:uiPriority w:val="0"/>
    <w:rPr>
      <w:rFonts w:ascii="Tahoma" w:hAnsi="Tahoma" w:eastAsia="宋体" w:cs="Times New Roman"/>
      <w:b/>
      <w:bCs/>
      <w:sz w:val="24"/>
      <w:szCs w:val="24"/>
    </w:rPr>
  </w:style>
  <w:style w:type="character" w:customStyle="1" w:styleId="93">
    <w:name w:val="正文文本缩进 3 字符"/>
    <w:basedOn w:val="46"/>
    <w:link w:val="34"/>
    <w:qFormat/>
    <w:uiPriority w:val="0"/>
    <w:rPr>
      <w:rFonts w:ascii="Tahoma" w:hAnsi="Tahoma" w:eastAsia="宋体" w:cs="Times New Roman"/>
      <w:sz w:val="16"/>
      <w:szCs w:val="16"/>
    </w:rPr>
  </w:style>
  <w:style w:type="character" w:customStyle="1" w:styleId="94">
    <w:name w:val="批注框文本 字符"/>
    <w:basedOn w:val="46"/>
    <w:link w:val="26"/>
    <w:qFormat/>
    <w:uiPriority w:val="0"/>
    <w:rPr>
      <w:rFonts w:ascii="Tahoma" w:hAnsi="Tahoma" w:eastAsia="宋体" w:cs="Times New Roman"/>
      <w:sz w:val="18"/>
      <w:szCs w:val="18"/>
    </w:rPr>
  </w:style>
  <w:style w:type="character" w:customStyle="1" w:styleId="95">
    <w:name w:val="标题 字符"/>
    <w:basedOn w:val="46"/>
    <w:link w:val="40"/>
    <w:qFormat/>
    <w:uiPriority w:val="0"/>
    <w:rPr>
      <w:rFonts w:ascii="Arial" w:hAnsi="Arial" w:eastAsia="宋体" w:cs="Arial"/>
      <w:b/>
      <w:bCs/>
      <w:sz w:val="32"/>
      <w:szCs w:val="32"/>
    </w:rPr>
  </w:style>
  <w:style w:type="paragraph" w:customStyle="1" w:styleId="96">
    <w:name w:val="5"/>
    <w:basedOn w:val="1"/>
    <w:next w:val="22"/>
    <w:qFormat/>
    <w:uiPriority w:val="0"/>
    <w:pPr>
      <w:spacing w:line="360" w:lineRule="auto"/>
    </w:pPr>
    <w:rPr>
      <w:rFonts w:ascii="宋体" w:hAnsi="Courier New"/>
      <w:spacing w:val="-8"/>
      <w:szCs w:val="20"/>
    </w:rPr>
  </w:style>
  <w:style w:type="paragraph" w:customStyle="1" w:styleId="97">
    <w:name w:val="标准段落"/>
    <w:basedOn w:val="1"/>
    <w:qFormat/>
    <w:uiPriority w:val="0"/>
    <w:pPr>
      <w:topLinePunct/>
      <w:autoSpaceDE w:val="0"/>
      <w:autoSpaceDN w:val="0"/>
      <w:spacing w:line="0" w:lineRule="atLeast"/>
      <w:ind w:firstLine="562" w:firstLineChars="200"/>
    </w:pPr>
    <w:rPr>
      <w:rFonts w:ascii="Times New Roman" w:hAnsi="Times New Roman" w:eastAsia="仿宋_GB2312"/>
      <w:b/>
      <w:sz w:val="28"/>
      <w:lang w:bidi="th-TH"/>
    </w:rPr>
  </w:style>
  <w:style w:type="paragraph" w:customStyle="1" w:styleId="9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Times New Roman" w:hAnsi="Times New Roman" w:eastAsia="Arial Unicode MS"/>
      <w:kern w:val="0"/>
      <w:sz w:val="20"/>
      <w:szCs w:val="20"/>
    </w:rPr>
  </w:style>
  <w:style w:type="paragraph" w:customStyle="1" w:styleId="9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100">
    <w:name w:val="样式 标题 2H2h2Underrubrik1prop2标题 1.1Heading 2 HiddenHeading..."/>
    <w:basedOn w:val="3"/>
    <w:qFormat/>
    <w:uiPriority w:val="0"/>
    <w:pPr>
      <w:spacing w:line="300" w:lineRule="auto"/>
    </w:pPr>
    <w:rPr>
      <w:rFonts w:eastAsia="宋体"/>
      <w:szCs w:val="20"/>
    </w:rPr>
  </w:style>
  <w:style w:type="paragraph" w:customStyle="1" w:styleId="101">
    <w:name w:val="Char Char Char Char Char Char1 Char Char Char Char Char Char Char Char Char Char Char Char Char Char"/>
    <w:basedOn w:val="1"/>
    <w:qFormat/>
    <w:uiPriority w:val="0"/>
    <w:pPr>
      <w:widowControl/>
      <w:spacing w:after="160" w:line="240" w:lineRule="atLeast"/>
      <w:jc w:val="left"/>
    </w:pPr>
    <w:rPr>
      <w:rFonts w:ascii="Verdana" w:hAnsi="Verdana" w:eastAsia="仿宋_GB2312"/>
      <w:kern w:val="0"/>
      <w:szCs w:val="20"/>
      <w:lang w:eastAsia="en-US"/>
    </w:rPr>
  </w:style>
  <w:style w:type="paragraph" w:customStyle="1" w:styleId="102">
    <w:name w:val="默认段落字体 Para Char"/>
    <w:basedOn w:val="1"/>
    <w:qFormat/>
    <w:uiPriority w:val="0"/>
    <w:rPr>
      <w:szCs w:val="20"/>
    </w:rPr>
  </w:style>
  <w:style w:type="paragraph" w:customStyle="1" w:styleId="103">
    <w:name w:val="样式 首行缩进:  2 字符"/>
    <w:basedOn w:val="1"/>
    <w:qFormat/>
    <w:uiPriority w:val="0"/>
    <w:pPr>
      <w:spacing w:line="400" w:lineRule="exact"/>
      <w:ind w:firstLine="200" w:firstLineChars="200"/>
    </w:pPr>
    <w:rPr>
      <w:rFonts w:ascii="Times New Roman" w:hAnsi="Times New Roman" w:cs="宋体"/>
    </w:rPr>
  </w:style>
  <w:style w:type="paragraph" w:customStyle="1" w:styleId="104">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05">
    <w:name w:val="Char Char Char"/>
    <w:basedOn w:val="1"/>
    <w:qFormat/>
    <w:uiPriority w:val="0"/>
    <w:rPr>
      <w:szCs w:val="20"/>
    </w:rPr>
  </w:style>
  <w:style w:type="paragraph" w:customStyle="1" w:styleId="106">
    <w:name w:val="样式2"/>
    <w:basedOn w:val="28"/>
    <w:qFormat/>
    <w:uiPriority w:val="0"/>
    <w:pPr>
      <w:pBdr>
        <w:bottom w:val="none" w:color="auto" w:sz="0" w:space="0"/>
      </w:pBdr>
      <w:jc w:val="both"/>
    </w:pPr>
  </w:style>
  <w:style w:type="paragraph" w:customStyle="1" w:styleId="107">
    <w:name w:val="标题四"/>
    <w:basedOn w:val="5"/>
    <w:qFormat/>
    <w:uiPriority w:val="0"/>
    <w:pPr>
      <w:keepLines/>
      <w:spacing w:before="280" w:after="290"/>
      <w:ind w:left="845"/>
      <w:jc w:val="both"/>
    </w:pPr>
    <w:rPr>
      <w:rFonts w:ascii="Arial" w:hAnsi="Arial" w:eastAsia="黑体"/>
      <w:sz w:val="24"/>
    </w:rPr>
  </w:style>
  <w:style w:type="paragraph" w:customStyle="1" w:styleId="108">
    <w:name w:val="font6"/>
    <w:basedOn w:val="1"/>
    <w:qFormat/>
    <w:uiPriority w:val="0"/>
    <w:pPr>
      <w:widowControl/>
      <w:spacing w:before="100" w:beforeAutospacing="1" w:after="100" w:afterAutospacing="1"/>
      <w:jc w:val="left"/>
    </w:pPr>
    <w:rPr>
      <w:rFonts w:ascii="Times New Roman" w:hAnsi="Times New Roman" w:eastAsia="Arial Unicode MS"/>
      <w:kern w:val="0"/>
      <w:sz w:val="20"/>
      <w:szCs w:val="20"/>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110">
    <w:name w:val="Char Char2 Char"/>
    <w:basedOn w:val="1"/>
    <w:qFormat/>
    <w:uiPriority w:val="0"/>
    <w:rPr>
      <w:rFonts w:ascii="Times New Roman" w:hAnsi="Times New Roman"/>
      <w:sz w:val="21"/>
    </w:rPr>
  </w:style>
  <w:style w:type="paragraph" w:customStyle="1" w:styleId="111">
    <w:name w:val="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12">
    <w:name w:val="D标1"/>
    <w:basedOn w:val="2"/>
    <w:next w:val="1"/>
    <w:qFormat/>
    <w:uiPriority w:val="0"/>
    <w:pPr>
      <w:keepLines w:val="0"/>
      <w:pageBreakBefore/>
      <w:widowControl/>
      <w:tabs>
        <w:tab w:val="left" w:pos="432"/>
      </w:tabs>
      <w:autoSpaceDE w:val="0"/>
      <w:autoSpaceDN w:val="0"/>
      <w:adjustRightInd w:val="0"/>
      <w:spacing w:before="360" w:after="240" w:line="315" w:lineRule="atLeast"/>
      <w:ind w:left="432"/>
      <w:jc w:val="center"/>
    </w:pPr>
    <w:rPr>
      <w:rFonts w:ascii="黑体" w:eastAsia="黑体"/>
      <w:kern w:val="0"/>
      <w:sz w:val="36"/>
      <w:szCs w:val="20"/>
    </w:rPr>
  </w:style>
  <w:style w:type="paragraph" w:customStyle="1" w:styleId="113">
    <w:name w:val="D标3"/>
    <w:basedOn w:val="4"/>
    <w:uiPriority w:val="0"/>
    <w:pPr>
      <w:keepNext w:val="0"/>
      <w:keepLines w:val="0"/>
      <w:tabs>
        <w:tab w:val="left" w:pos="720"/>
      </w:tabs>
      <w:autoSpaceDE w:val="0"/>
      <w:autoSpaceDN w:val="0"/>
      <w:adjustRightInd w:val="0"/>
      <w:spacing w:before="120" w:after="0" w:line="480" w:lineRule="atLeast"/>
      <w:ind w:left="720" w:hanging="720"/>
    </w:pPr>
    <w:rPr>
      <w:rFonts w:ascii="宋体" w:hAnsi="Times New Roman"/>
      <w:b w:val="0"/>
      <w:bCs w:val="0"/>
      <w:kern w:val="0"/>
      <w:sz w:val="24"/>
      <w:szCs w:val="20"/>
    </w:rPr>
  </w:style>
  <w:style w:type="paragraph" w:customStyle="1" w:styleId="114">
    <w:name w:val="Figure Description"/>
    <w:basedOn w:val="1"/>
    <w:qFormat/>
    <w:uiPriority w:val="0"/>
    <w:pPr>
      <w:ind w:left="1701"/>
    </w:pPr>
    <w:rPr>
      <w:rFonts w:ascii="Times New Roman" w:hAnsi="Times New Roman"/>
      <w:sz w:val="21"/>
      <w:szCs w:val="20"/>
    </w:rPr>
  </w:style>
  <w:style w:type="paragraph" w:customStyle="1" w:styleId="115">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 w:type="paragraph" w:customStyle="1" w:styleId="116">
    <w:name w:val="Char Char"/>
    <w:basedOn w:val="1"/>
    <w:uiPriority w:val="0"/>
    <w:pPr>
      <w:widowControl/>
      <w:spacing w:after="160" w:line="240" w:lineRule="exact"/>
      <w:jc w:val="left"/>
    </w:pPr>
    <w:rPr>
      <w:rFonts w:ascii="Verdana" w:hAnsi="Verdana"/>
      <w:kern w:val="0"/>
      <w:sz w:val="20"/>
      <w:szCs w:val="20"/>
      <w:lang w:eastAsia="en-US"/>
    </w:rPr>
  </w:style>
  <w:style w:type="paragraph" w:customStyle="1" w:styleId="117">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b/>
      <w:bCs/>
      <w:kern w:val="0"/>
    </w:rPr>
  </w:style>
  <w:style w:type="paragraph" w:customStyle="1" w:styleId="11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kern w:val="0"/>
      <w:sz w:val="20"/>
      <w:szCs w:val="20"/>
    </w:rPr>
  </w:style>
  <w:style w:type="paragraph" w:customStyle="1" w:styleId="119">
    <w:name w:val="样式3"/>
    <w:basedOn w:val="27"/>
    <w:qFormat/>
    <w:uiPriority w:val="0"/>
    <w:rPr>
      <w:szCs w:val="21"/>
    </w:rPr>
  </w:style>
  <w:style w:type="paragraph" w:customStyle="1" w:styleId="120">
    <w:name w:val="Char Char Char1 Char Char Char2 Char Char Char Char Char Char"/>
    <w:basedOn w:val="14"/>
    <w:uiPriority w:val="0"/>
    <w:rPr>
      <w:rFonts w:cs="Tahoma"/>
      <w:kern w:val="0"/>
      <w:sz w:val="18"/>
    </w:rPr>
  </w:style>
  <w:style w:type="paragraph" w:customStyle="1" w:styleId="121">
    <w:name w:val="D标2"/>
    <w:basedOn w:val="3"/>
    <w:uiPriority w:val="0"/>
    <w:pPr>
      <w:keepLines w:val="0"/>
      <w:widowControl/>
      <w:tabs>
        <w:tab w:val="left" w:pos="720"/>
      </w:tabs>
      <w:autoSpaceDE w:val="0"/>
      <w:autoSpaceDN w:val="0"/>
      <w:adjustRightInd w:val="0"/>
      <w:spacing w:before="360" w:after="0" w:line="480" w:lineRule="exact"/>
      <w:ind w:left="720" w:hanging="720"/>
      <w:jc w:val="left"/>
    </w:pPr>
    <w:rPr>
      <w:rFonts w:ascii="黑体" w:hAnsi="宋体"/>
      <w:bCs w:val="0"/>
      <w:sz w:val="24"/>
      <w:szCs w:val="20"/>
    </w:rPr>
  </w:style>
  <w:style w:type="paragraph" w:customStyle="1" w:styleId="122">
    <w:name w:val="D文1"/>
    <w:basedOn w:val="1"/>
    <w:uiPriority w:val="0"/>
    <w:pPr>
      <w:tabs>
        <w:tab w:val="left" w:pos="720"/>
      </w:tabs>
      <w:autoSpaceDE w:val="0"/>
      <w:autoSpaceDN w:val="0"/>
      <w:adjustRightInd w:val="0"/>
      <w:spacing w:after="120" w:line="480" w:lineRule="atLeast"/>
      <w:ind w:left="680" w:firstLine="510"/>
    </w:pPr>
    <w:rPr>
      <w:rFonts w:ascii="宋体" w:hAnsi="Times New Roman"/>
      <w:kern w:val="0"/>
      <w:szCs w:val="20"/>
    </w:rPr>
  </w:style>
  <w:style w:type="paragraph" w:customStyle="1" w:styleId="123">
    <w:name w:val="Paragraph"/>
    <w:basedOn w:val="1"/>
    <w:uiPriority w:val="0"/>
    <w:pPr>
      <w:keepNext/>
      <w:keepLines/>
      <w:tabs>
        <w:tab w:val="left" w:pos="0"/>
      </w:tabs>
      <w:spacing w:after="200"/>
      <w:jc w:val="left"/>
    </w:pPr>
    <w:rPr>
      <w:rFonts w:ascii="Book Antiqua" w:hAnsi="Book Antiqua"/>
      <w:snapToGrid w:val="0"/>
      <w:kern w:val="0"/>
      <w:sz w:val="20"/>
      <w:szCs w:val="20"/>
      <w:lang w:eastAsia="en-US"/>
    </w:rPr>
  </w:style>
  <w:style w:type="paragraph" w:customStyle="1" w:styleId="124">
    <w:name w:val="msoacetate"/>
    <w:basedOn w:val="1"/>
    <w:qFormat/>
    <w:uiPriority w:val="0"/>
    <w:rPr>
      <w:sz w:val="18"/>
      <w:szCs w:val="18"/>
    </w:rPr>
  </w:style>
  <w:style w:type="paragraph" w:customStyle="1" w:styleId="12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kern w:val="0"/>
    </w:rPr>
  </w:style>
  <w:style w:type="paragraph" w:customStyle="1" w:styleId="126">
    <w:name w:val="TOC 标题1"/>
    <w:basedOn w:val="2"/>
    <w:next w:val="1"/>
    <w:qFormat/>
    <w:uiPriority w:val="39"/>
    <w:pPr>
      <w:widowControl/>
      <w:spacing w:before="480" w:after="0" w:line="276" w:lineRule="auto"/>
      <w:jc w:val="left"/>
      <w:outlineLvl w:val="9"/>
    </w:pPr>
    <w:rPr>
      <w:rFonts w:ascii="Cambria" w:hAnsi="Cambria"/>
      <w:b/>
      <w:bCs/>
      <w:color w:val="365F91"/>
      <w:kern w:val="0"/>
      <w:sz w:val="28"/>
      <w:szCs w:val="28"/>
    </w:rPr>
  </w:style>
  <w:style w:type="paragraph" w:customStyle="1" w:styleId="127">
    <w:name w:val="D标4"/>
    <w:basedOn w:val="1"/>
    <w:next w:val="122"/>
    <w:uiPriority w:val="0"/>
    <w:pPr>
      <w:tabs>
        <w:tab w:val="left" w:pos="390"/>
      </w:tabs>
      <w:autoSpaceDE w:val="0"/>
      <w:autoSpaceDN w:val="0"/>
      <w:adjustRightInd w:val="0"/>
      <w:spacing w:before="120" w:line="480" w:lineRule="atLeast"/>
      <w:ind w:left="390" w:hanging="390"/>
    </w:pPr>
    <w:rPr>
      <w:rFonts w:ascii="宋体" w:hAnsi="Times New Roman"/>
      <w:kern w:val="0"/>
      <w:szCs w:val="20"/>
    </w:rPr>
  </w:style>
  <w:style w:type="paragraph" w:customStyle="1" w:styleId="128">
    <w:name w:val="文档正文"/>
    <w:basedOn w:val="1"/>
    <w:uiPriority w:val="0"/>
    <w:pPr>
      <w:spacing w:line="360" w:lineRule="auto"/>
    </w:pPr>
    <w:rPr>
      <w:rFonts w:ascii="Arial" w:hAnsi="Arial" w:cs="Arial"/>
    </w:rPr>
  </w:style>
  <w:style w:type="paragraph" w:customStyle="1" w:styleId="129">
    <w:name w:val="题注4"/>
    <w:basedOn w:val="1"/>
    <w:next w:val="13"/>
    <w:qFormat/>
    <w:uiPriority w:val="0"/>
    <w:pPr>
      <w:ind w:left="-132" w:leftChars="-64" w:right="-105" w:rightChars="-50" w:hanging="2"/>
      <w:jc w:val="center"/>
    </w:pPr>
    <w:rPr>
      <w:rFonts w:ascii="Times New Roman" w:hAnsi="Times New Roman"/>
      <w:b/>
      <w:color w:val="FF0000"/>
      <w:sz w:val="21"/>
      <w:szCs w:val="21"/>
      <w:lang w:val="en-GB"/>
    </w:rPr>
  </w:style>
  <w:style w:type="paragraph" w:customStyle="1" w:styleId="130">
    <w:name w:val="Char"/>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0"/>
      <w:szCs w:val="20"/>
    </w:rPr>
  </w:style>
  <w:style w:type="paragraph" w:customStyle="1" w:styleId="132">
    <w:name w:val="Char Char3 Char Char"/>
    <w:basedOn w:val="1"/>
    <w:qFormat/>
    <w:uiPriority w:val="0"/>
    <w:rPr>
      <w:rFonts w:ascii="宋体" w:hAnsi="宋体"/>
      <w:b/>
      <w:sz w:val="28"/>
      <w:szCs w:val="28"/>
    </w:rPr>
  </w:style>
  <w:style w:type="paragraph" w:customStyle="1" w:styleId="133">
    <w:name w:val="±íÏî"/>
    <w:basedOn w:val="1"/>
    <w:uiPriority w:val="0"/>
    <w:pPr>
      <w:widowControl/>
      <w:overflowPunct w:val="0"/>
      <w:autoSpaceDE w:val="0"/>
      <w:autoSpaceDN w:val="0"/>
      <w:adjustRightInd w:val="0"/>
      <w:spacing w:line="300" w:lineRule="auto"/>
      <w:jc w:val="center"/>
      <w:textAlignment w:val="baseline"/>
    </w:pPr>
    <w:rPr>
      <w:rFonts w:ascii="Times New Roman" w:hAnsi="Times New Roman"/>
      <w:kern w:val="0"/>
      <w:sz w:val="18"/>
      <w:szCs w:val="20"/>
    </w:rPr>
  </w:style>
  <w:style w:type="paragraph" w:customStyle="1" w:styleId="134">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5">
    <w:name w:val="P标3"/>
    <w:basedOn w:val="4"/>
    <w:uiPriority w:val="0"/>
    <w:pPr>
      <w:keepNext w:val="0"/>
      <w:keepLines w:val="0"/>
      <w:tabs>
        <w:tab w:val="left" w:pos="432"/>
      </w:tabs>
      <w:autoSpaceDE w:val="0"/>
      <w:autoSpaceDN w:val="0"/>
      <w:adjustRightInd w:val="0"/>
      <w:spacing w:before="120" w:after="120" w:line="480" w:lineRule="atLeast"/>
      <w:ind w:left="432" w:hanging="432"/>
    </w:pPr>
    <w:rPr>
      <w:rFonts w:ascii="宋体" w:hAnsi="Times New Roman"/>
      <w:b w:val="0"/>
      <w:bCs w:val="0"/>
      <w:kern w:val="0"/>
      <w:sz w:val="24"/>
      <w:szCs w:val="20"/>
    </w:rPr>
  </w:style>
  <w:style w:type="paragraph" w:customStyle="1" w:styleId="136">
    <w:name w:val="Char Char Char1 Char Char Char Char Char Char Char Char Char Char"/>
    <w:basedOn w:val="1"/>
    <w:qFormat/>
    <w:uiPriority w:val="0"/>
    <w:rPr>
      <w:szCs w:val="20"/>
    </w:rPr>
  </w:style>
  <w:style w:type="paragraph" w:customStyle="1" w:styleId="137">
    <w:name w:val="Char Char1 Char"/>
    <w:basedOn w:val="1"/>
    <w:uiPriority w:val="0"/>
    <w:rPr>
      <w:rFonts w:ascii="Times New Roman" w:hAnsi="Times New Roman"/>
      <w:sz w:val="21"/>
    </w:rPr>
  </w:style>
  <w:style w:type="paragraph" w:customStyle="1" w:styleId="138">
    <w:name w:val="Char Char Char Char Char Char Char Char Char Char"/>
    <w:basedOn w:val="1"/>
    <w:qFormat/>
    <w:uiPriority w:val="0"/>
  </w:style>
  <w:style w:type="paragraph" w:customStyle="1" w:styleId="139">
    <w:name w:val="xl43"/>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4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141">
    <w:name w:val="样式4"/>
    <w:basedOn w:val="1"/>
    <w:qFormat/>
    <w:uiPriority w:val="0"/>
    <w:pPr>
      <w:tabs>
        <w:tab w:val="left" w:pos="1984"/>
      </w:tabs>
      <w:ind w:left="1984" w:hanging="708"/>
    </w:pPr>
    <w:rPr>
      <w:rFonts w:ascii="Times New Roman" w:hAnsi="Times New Roman"/>
      <w:sz w:val="21"/>
    </w:rPr>
  </w:style>
  <w:style w:type="paragraph" w:customStyle="1" w:styleId="142">
    <w:name w:val="Char1 Char Char Char"/>
    <w:basedOn w:val="1"/>
    <w:qFormat/>
    <w:uiPriority w:val="0"/>
    <w:rPr>
      <w:szCs w:val="20"/>
    </w:rPr>
  </w:style>
  <w:style w:type="paragraph" w:customStyle="1" w:styleId="143">
    <w:name w:val="font7"/>
    <w:basedOn w:val="1"/>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44">
    <w:name w:val="样式1"/>
    <w:basedOn w:val="1"/>
    <w:qFormat/>
    <w:uiPriority w:val="0"/>
    <w:pPr>
      <w:widowControl/>
      <w:overflowPunct w:val="0"/>
      <w:autoSpaceDE w:val="0"/>
      <w:autoSpaceDN w:val="0"/>
      <w:adjustRightInd w:val="0"/>
      <w:spacing w:after="80" w:line="360" w:lineRule="auto"/>
      <w:ind w:firstLine="618"/>
      <w:textAlignment w:val="baseline"/>
    </w:pPr>
    <w:rPr>
      <w:rFonts w:ascii="Times New Roman" w:hAnsi="Times New Roman"/>
      <w:kern w:val="0"/>
      <w:sz w:val="28"/>
      <w:szCs w:val="20"/>
    </w:rPr>
  </w:style>
  <w:style w:type="paragraph" w:customStyle="1" w:styleId="145">
    <w:name w:val="xl65"/>
    <w:basedOn w:val="1"/>
    <w:uiPriority w:val="0"/>
    <w:pPr>
      <w:widowControl/>
      <w:spacing w:before="100" w:beforeAutospacing="1" w:after="100" w:afterAutospacing="1"/>
      <w:jc w:val="center"/>
      <w:textAlignment w:val="center"/>
    </w:pPr>
    <w:rPr>
      <w:rFonts w:hint="eastAsia" w:ascii="Arial Unicode MS" w:hAnsi="Arial Unicode MS" w:eastAsia="Arial Unicode MS"/>
      <w:b/>
      <w:bCs/>
      <w:kern w:val="0"/>
      <w:sz w:val="32"/>
      <w:szCs w:val="32"/>
    </w:rPr>
  </w:style>
  <w:style w:type="paragraph" w:customStyle="1" w:styleId="146">
    <w:name w:val="font0"/>
    <w:basedOn w:val="1"/>
    <w:uiPriority w:val="0"/>
    <w:pPr>
      <w:widowControl/>
      <w:spacing w:before="100" w:beforeAutospacing="1" w:after="100" w:afterAutospacing="1"/>
      <w:jc w:val="left"/>
    </w:pPr>
    <w:rPr>
      <w:rFonts w:hint="eastAsia" w:ascii="宋体" w:hAnsi="宋体" w:cs="Arial Unicode MS"/>
      <w:kern w:val="0"/>
    </w:rPr>
  </w:style>
  <w:style w:type="paragraph" w:customStyle="1" w:styleId="147">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Cs w:val="20"/>
    </w:rPr>
  </w:style>
  <w:style w:type="paragraph" w:customStyle="1" w:styleId="148">
    <w:name w:val="题注5"/>
    <w:basedOn w:val="1"/>
    <w:next w:val="13"/>
    <w:qFormat/>
    <w:uiPriority w:val="0"/>
    <w:pPr>
      <w:jc w:val="center"/>
    </w:pPr>
    <w:rPr>
      <w:rFonts w:ascii="Times New Roman" w:hAnsi="Times New Roman"/>
      <w:b/>
      <w:color w:val="000000"/>
      <w:szCs w:val="21"/>
    </w:rPr>
  </w:style>
  <w:style w:type="paragraph" w:customStyle="1" w:styleId="149">
    <w:name w:val="Char Char Char Char"/>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150">
    <w:name w:val="表格内容"/>
    <w:basedOn w:val="17"/>
    <w:qFormat/>
    <w:uiPriority w:val="0"/>
    <w:pPr>
      <w:widowControl w:val="0"/>
      <w:suppressLineNumbers/>
      <w:suppressAutoHyphens/>
      <w:spacing w:before="0" w:beforeAutospacing="0" w:after="120" w:afterAutospacing="0"/>
    </w:pPr>
    <w:rPr>
      <w:rFonts w:hint="default" w:ascii="Times New Roman" w:hAnsi="Times New Roman"/>
    </w:rPr>
  </w:style>
  <w:style w:type="paragraph" w:customStyle="1" w:styleId="151">
    <w:name w:val="xl39"/>
    <w:basedOn w:val="1"/>
    <w:qFormat/>
    <w:uiPriority w:val="0"/>
    <w:pPr>
      <w:widowControl/>
      <w:spacing w:before="100" w:beforeAutospacing="1" w:after="100" w:afterAutospacing="1"/>
      <w:jc w:val="center"/>
    </w:pPr>
    <w:rPr>
      <w:rFonts w:hint="eastAsia" w:ascii="宋体" w:hAnsi="宋体"/>
      <w:kern w:val="0"/>
    </w:rPr>
  </w:style>
  <w:style w:type="paragraph" w:customStyle="1" w:styleId="15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kern w:val="0"/>
    </w:rPr>
  </w:style>
  <w:style w:type="paragraph" w:customStyle="1" w:styleId="155">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rPr>
  </w:style>
  <w:style w:type="paragraph" w:customStyle="1" w:styleId="156">
    <w:name w:val="Char Char Char Char Char Char1 Char"/>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157">
    <w:name w:val="xl42"/>
    <w:basedOn w:val="1"/>
    <w:uiPriority w:val="0"/>
    <w:pPr>
      <w:widowControl/>
      <w:pBdr>
        <w:top w:val="single" w:color="auto" w:sz="4" w:space="0"/>
        <w:left w:val="single" w:color="auto" w:sz="4" w:space="0"/>
        <w:bottom w:val="single" w:color="auto" w:sz="4" w:space="0"/>
      </w:pBdr>
      <w:tabs>
        <w:tab w:val="left" w:pos="900"/>
      </w:tabs>
      <w:spacing w:before="100" w:beforeAutospacing="1" w:after="100" w:afterAutospacing="1"/>
      <w:jc w:val="left"/>
    </w:pPr>
    <w:rPr>
      <w:rFonts w:ascii="Arial Unicode MS" w:hAnsi="Arial Unicode MS" w:eastAsia="Arial Unicode MS"/>
      <w:kern w:val="0"/>
      <w:sz w:val="18"/>
      <w:szCs w:val="18"/>
    </w:rPr>
  </w:style>
  <w:style w:type="paragraph" w:customStyle="1" w:styleId="158">
    <w:name w:val="Table Description"/>
    <w:basedOn w:val="1"/>
    <w:uiPriority w:val="0"/>
    <w:pPr>
      <w:ind w:left="1701"/>
    </w:pPr>
    <w:rPr>
      <w:rFonts w:ascii="Times New Roman" w:hAnsi="Times New Roman"/>
      <w:sz w:val="21"/>
      <w:szCs w:val="20"/>
    </w:rPr>
  </w:style>
  <w:style w:type="paragraph" w:customStyle="1" w:styleId="159">
    <w:name w:val="标题 四 ＋ 宋体"/>
    <w:basedOn w:val="1"/>
    <w:uiPriority w:val="0"/>
    <w:pPr>
      <w:tabs>
        <w:tab w:val="left" w:pos="360"/>
      </w:tabs>
      <w:spacing w:line="360" w:lineRule="auto"/>
    </w:pPr>
    <w:rPr>
      <w:rFonts w:ascii="Times New Roman" w:hAnsi="Times New Roman"/>
      <w:i/>
    </w:rPr>
  </w:style>
  <w:style w:type="paragraph" w:customStyle="1" w:styleId="160">
    <w:name w:val="font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1">
    <w:name w:val="xl64"/>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pPr>
    <w:rPr>
      <w:rFonts w:ascii="宋体" w:hAnsi="宋体" w:cs="宋体"/>
      <w:kern w:val="0"/>
    </w:rPr>
  </w:style>
  <w:style w:type="paragraph" w:customStyle="1" w:styleId="162">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rPr>
  </w:style>
  <w:style w:type="paragraph" w:customStyle="1" w:styleId="163">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pPr>
    <w:rPr>
      <w:rFonts w:ascii="宋体" w:hAnsi="宋体" w:cs="宋体"/>
      <w:b/>
      <w:bCs/>
      <w:kern w:val="0"/>
      <w:sz w:val="36"/>
      <w:szCs w:val="36"/>
    </w:rPr>
  </w:style>
  <w:style w:type="paragraph" w:customStyle="1" w:styleId="164">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36"/>
      <w:szCs w:val="36"/>
    </w:rPr>
  </w:style>
  <w:style w:type="paragraph" w:customStyle="1" w:styleId="16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66">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rPr>
  </w:style>
  <w:style w:type="paragraph" w:customStyle="1" w:styleId="167">
    <w:name w:val="xl71"/>
    <w:basedOn w:val="1"/>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pPr>
    <w:rPr>
      <w:rFonts w:ascii="宋体" w:hAnsi="宋体" w:cs="宋体"/>
      <w:kern w:val="0"/>
    </w:rPr>
  </w:style>
  <w:style w:type="paragraph" w:customStyle="1" w:styleId="168">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pPr>
    <w:rPr>
      <w:rFonts w:ascii="宋体" w:hAnsi="宋体" w:cs="宋体"/>
      <w:kern w:val="0"/>
    </w:rPr>
  </w:style>
  <w:style w:type="paragraph" w:customStyle="1" w:styleId="169">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170">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71">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rPr>
  </w:style>
  <w:style w:type="paragraph" w:customStyle="1" w:styleId="172">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17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pPr>
    <w:rPr>
      <w:rFonts w:ascii="宋体" w:hAnsi="宋体" w:cs="宋体"/>
      <w:b/>
      <w:bCs/>
      <w:kern w:val="0"/>
    </w:rPr>
  </w:style>
  <w:style w:type="paragraph" w:customStyle="1" w:styleId="17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pPr>
    <w:rPr>
      <w:rFonts w:ascii="宋体" w:hAnsi="宋体" w:cs="宋体"/>
      <w:kern w:val="0"/>
    </w:rPr>
  </w:style>
  <w:style w:type="paragraph" w:customStyle="1" w:styleId="17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center"/>
    </w:pPr>
    <w:rPr>
      <w:rFonts w:ascii="宋体" w:hAnsi="宋体" w:cs="宋体"/>
      <w:kern w:val="0"/>
    </w:rPr>
  </w:style>
  <w:style w:type="paragraph" w:customStyle="1" w:styleId="17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paragraph" w:customStyle="1" w:styleId="17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rPr>
  </w:style>
  <w:style w:type="paragraph" w:customStyle="1" w:styleId="17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rPr>
  </w:style>
  <w:style w:type="paragraph" w:customStyle="1" w:styleId="17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18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rPr>
  </w:style>
  <w:style w:type="paragraph" w:customStyle="1" w:styleId="18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7EDCC"/>
      <w:spacing w:before="100" w:beforeAutospacing="1" w:after="100" w:afterAutospacing="1"/>
      <w:jc w:val="left"/>
    </w:pPr>
    <w:rPr>
      <w:rFonts w:ascii="宋体" w:hAnsi="宋体" w:cs="宋体"/>
      <w:b/>
      <w:bCs/>
      <w:kern w:val="0"/>
      <w:sz w:val="40"/>
      <w:szCs w:val="40"/>
    </w:rPr>
  </w:style>
  <w:style w:type="paragraph" w:customStyle="1" w:styleId="18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40"/>
      <w:szCs w:val="40"/>
    </w:rPr>
  </w:style>
  <w:style w:type="paragraph" w:customStyle="1" w:styleId="18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18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rPr>
  </w:style>
  <w:style w:type="paragraph" w:customStyle="1" w:styleId="18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rPr>
  </w:style>
  <w:style w:type="paragraph" w:customStyle="1" w:styleId="18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paragraph" w:customStyle="1" w:styleId="1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 w:val="21"/>
      <w:szCs w:val="21"/>
    </w:rPr>
  </w:style>
  <w:style w:type="paragraph" w:customStyle="1" w:styleId="18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color w:val="000000"/>
      <w:kern w:val="0"/>
    </w:rPr>
  </w:style>
  <w:style w:type="paragraph" w:customStyle="1" w:styleId="19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91">
    <w:name w:val="xl9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92">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9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rPr>
  </w:style>
  <w:style w:type="character" w:styleId="194">
    <w:name w:val="Placeholder Text"/>
    <w:basedOn w:val="46"/>
    <w:semiHidden/>
    <w:qFormat/>
    <w:uiPriority w:val="99"/>
    <w:rPr>
      <w:color w:val="808080"/>
    </w:rPr>
  </w:style>
  <w:style w:type="character" w:customStyle="1" w:styleId="195">
    <w:name w:val="标题 2 Char1"/>
    <w:qFormat/>
    <w:uiPriority w:val="0"/>
    <w:rPr>
      <w:rFonts w:ascii="Arial" w:hAnsi="Arial" w:eastAsia="黑体"/>
      <w:b/>
      <w:bCs/>
      <w:kern w:val="2"/>
      <w:sz w:val="32"/>
      <w:szCs w:val="32"/>
      <w:lang w:val="en-US" w:eastAsia="zh-CN" w:bidi="ar-SA"/>
    </w:rPr>
  </w:style>
  <w:style w:type="character" w:customStyle="1" w:styleId="196">
    <w:name w:val="Char Char9"/>
    <w:qFormat/>
    <w:uiPriority w:val="0"/>
    <w:rPr>
      <w:rFonts w:ascii="Arial" w:hAnsi="Arial" w:eastAsia="黑体"/>
      <w:kern w:val="2"/>
      <w:sz w:val="32"/>
      <w:szCs w:val="32"/>
      <w:lang w:val="en-US" w:eastAsia="zh-CN" w:bidi="ar-SA"/>
    </w:rPr>
  </w:style>
  <w:style w:type="character" w:customStyle="1" w:styleId="197">
    <w:name w:val="Char Char10"/>
    <w:qFormat/>
    <w:uiPriority w:val="0"/>
    <w:rPr>
      <w:rFonts w:eastAsia="宋体"/>
      <w:b/>
      <w:bCs/>
      <w:kern w:val="44"/>
      <w:sz w:val="44"/>
      <w:szCs w:val="44"/>
      <w:lang w:val="en-US" w:eastAsia="zh-CN" w:bidi="ar-SA"/>
    </w:rPr>
  </w:style>
  <w:style w:type="character" w:customStyle="1" w:styleId="198">
    <w:name w:val="apple-style-span"/>
    <w:basedOn w:val="46"/>
    <w:qFormat/>
    <w:uiPriority w:val="0"/>
  </w:style>
  <w:style w:type="character" w:customStyle="1" w:styleId="199">
    <w:name w:val="表格文字 Char Char"/>
    <w:qFormat/>
    <w:uiPriority w:val="0"/>
    <w:rPr>
      <w:rFonts w:eastAsia="宋体"/>
      <w:bCs/>
      <w:spacing w:val="10"/>
      <w:sz w:val="24"/>
      <w:lang w:val="en-US" w:eastAsia="zh-CN" w:bidi="ar-SA"/>
    </w:rPr>
  </w:style>
  <w:style w:type="character" w:customStyle="1" w:styleId="200">
    <w:name w:val="Char Char1"/>
    <w:qFormat/>
    <w:uiPriority w:val="0"/>
    <w:rPr>
      <w:rFonts w:eastAsia="宋体"/>
      <w:kern w:val="2"/>
      <w:sz w:val="18"/>
      <w:szCs w:val="18"/>
      <w:lang w:val="en-US" w:eastAsia="zh-CN" w:bidi="ar-SA"/>
    </w:rPr>
  </w:style>
  <w:style w:type="character" w:customStyle="1" w:styleId="201">
    <w:name w:val="apple-converted-space"/>
    <w:basedOn w:val="46"/>
    <w:qFormat/>
    <w:uiPriority w:val="0"/>
  </w:style>
  <w:style w:type="character" w:customStyle="1" w:styleId="202">
    <w:name w:val="jk1"/>
    <w:qFormat/>
    <w:uiPriority w:val="0"/>
  </w:style>
  <w:style w:type="character" w:customStyle="1" w:styleId="203">
    <w:name w:val="Char Char Char1"/>
    <w:qFormat/>
    <w:uiPriority w:val="0"/>
    <w:rPr>
      <w:rFonts w:ascii="宋体" w:hAnsi="Courier New" w:eastAsia="宋体"/>
      <w:kern w:val="2"/>
      <w:sz w:val="21"/>
      <w:lang w:val="en-US" w:eastAsia="zh-CN" w:bidi="ar-SA"/>
    </w:rPr>
  </w:style>
  <w:style w:type="character" w:customStyle="1" w:styleId="204">
    <w:name w:val="Char Char2"/>
    <w:qFormat/>
    <w:uiPriority w:val="0"/>
    <w:rPr>
      <w:rFonts w:eastAsia="宋体"/>
      <w:b/>
      <w:bCs/>
      <w:kern w:val="2"/>
      <w:sz w:val="32"/>
      <w:szCs w:val="32"/>
      <w:lang w:val="en-US" w:eastAsia="zh-CN" w:bidi="ar-SA"/>
    </w:rPr>
  </w:style>
  <w:style w:type="character" w:customStyle="1" w:styleId="205">
    <w:name w:val="正文文本 3 字符"/>
    <w:basedOn w:val="46"/>
    <w:link w:val="16"/>
    <w:qFormat/>
    <w:uiPriority w:val="0"/>
    <w:rPr>
      <w:rFonts w:ascii="Times New Roman" w:hAnsi="Times New Roman" w:eastAsia="宋体" w:cs="Times New Roman"/>
      <w:sz w:val="16"/>
      <w:szCs w:val="16"/>
    </w:rPr>
  </w:style>
  <w:style w:type="paragraph" w:customStyle="1" w:styleId="206">
    <w:name w:val="Char Char1 Char Char Char Char Char Char Char Char Char Char Char Char Char Char"/>
    <w:basedOn w:val="1"/>
    <w:qFormat/>
    <w:uiPriority w:val="0"/>
    <w:pPr>
      <w:widowControl/>
      <w:spacing w:after="160" w:line="240" w:lineRule="exact"/>
      <w:jc w:val="left"/>
    </w:pPr>
    <w:rPr>
      <w:rFonts w:ascii="仿宋_GB2312" w:hAnsi="Times New Roman" w:eastAsia="仿宋_GB2312"/>
      <w:b/>
      <w:sz w:val="32"/>
      <w:szCs w:val="32"/>
    </w:rPr>
  </w:style>
  <w:style w:type="paragraph" w:customStyle="1" w:styleId="207">
    <w:name w:val="样式 标题 22nd levelh22Header 2l2H2第一层条Underrubrik1prop2He..."/>
    <w:basedOn w:val="3"/>
    <w:qFormat/>
    <w:uiPriority w:val="0"/>
    <w:pPr>
      <w:spacing w:line="416" w:lineRule="auto"/>
      <w:ind w:firstLine="562" w:firstLineChars="200"/>
    </w:pPr>
    <w:rPr>
      <w:rFonts w:ascii="仿宋_GB2312" w:hAnsi="仿宋" w:eastAsia="宋体" w:cs="宋体"/>
      <w:kern w:val="2"/>
      <w:sz w:val="24"/>
      <w:szCs w:val="20"/>
    </w:rPr>
  </w:style>
  <w:style w:type="paragraph" w:customStyle="1" w:styleId="208">
    <w:name w:val="页脚 New"/>
    <w:basedOn w:val="1"/>
    <w:qFormat/>
    <w:uiPriority w:val="0"/>
    <w:pPr>
      <w:tabs>
        <w:tab w:val="center" w:pos="4153"/>
        <w:tab w:val="right" w:pos="8306"/>
      </w:tabs>
      <w:snapToGrid w:val="0"/>
      <w:jc w:val="left"/>
    </w:pPr>
    <w:rPr>
      <w:rFonts w:ascii="Times New Roman" w:hAnsi="Times New Roman"/>
      <w:sz w:val="18"/>
      <w:szCs w:val="18"/>
    </w:rPr>
  </w:style>
  <w:style w:type="paragraph" w:styleId="209">
    <w:name w:val="List Paragraph"/>
    <w:basedOn w:val="1"/>
    <w:qFormat/>
    <w:uiPriority w:val="0"/>
    <w:pPr>
      <w:ind w:firstLine="420" w:firstLineChars="200"/>
    </w:pPr>
    <w:rPr>
      <w:rFonts w:ascii="Times New Roman" w:hAnsi="Times New Roman"/>
      <w:sz w:val="21"/>
    </w:rPr>
  </w:style>
  <w:style w:type="paragraph" w:customStyle="1" w:styleId="210">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样式 标题 1H1章节标题 1 1标书1h11st levelSection Headl1标题一Headin..."/>
    <w:basedOn w:val="2"/>
    <w:qFormat/>
    <w:uiPriority w:val="0"/>
    <w:pPr>
      <w:spacing w:line="578" w:lineRule="auto"/>
    </w:pPr>
    <w:rPr>
      <w:rFonts w:ascii="宋体" w:hAnsi="宋体"/>
      <w:b/>
      <w:bCs/>
      <w:sz w:val="21"/>
    </w:rPr>
  </w:style>
  <w:style w:type="paragraph" w:customStyle="1" w:styleId="213">
    <w:name w:val="Pa10"/>
    <w:basedOn w:val="152"/>
    <w:next w:val="152"/>
    <w:qFormat/>
    <w:uiPriority w:val="0"/>
    <w:pPr>
      <w:spacing w:line="161" w:lineRule="atLeast"/>
    </w:pPr>
    <w:rPr>
      <w:rFonts w:ascii="..ì." w:hAnsi="Times New Roman" w:eastAsia="..ì." w:cs="Times New Roman"/>
      <w:color w:val="auto"/>
    </w:rPr>
  </w:style>
  <w:style w:type="paragraph" w:customStyle="1" w:styleId="214">
    <w:name w:val="Char Char Char Char1"/>
    <w:basedOn w:val="1"/>
    <w:qFormat/>
    <w:uiPriority w:val="0"/>
    <w:rPr>
      <w:rFonts w:ascii="Times New Roman" w:hAnsi="Times New Roman"/>
      <w:sz w:val="21"/>
    </w:rPr>
  </w:style>
  <w:style w:type="paragraph" w:customStyle="1" w:styleId="215">
    <w:name w:val="Char Char Char Char Char Char Char Char Char Char Char Char Char Char Char"/>
    <w:basedOn w:val="1"/>
    <w:qFormat/>
    <w:uiPriority w:val="0"/>
    <w:pPr>
      <w:widowControl/>
      <w:spacing w:line="400" w:lineRule="exact"/>
      <w:jc w:val="center"/>
    </w:pPr>
    <w:rPr>
      <w:rFonts w:ascii="Verdana" w:hAnsi="Verdana"/>
      <w:kern w:val="0"/>
      <w:sz w:val="21"/>
      <w:szCs w:val="20"/>
      <w:lang w:eastAsia="en-US"/>
    </w:rPr>
  </w:style>
  <w:style w:type="paragraph" w:customStyle="1" w:styleId="216">
    <w:name w:val="Char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17">
    <w:name w:val="GP正文(首行缩进)"/>
    <w:basedOn w:val="1"/>
    <w:qFormat/>
    <w:uiPriority w:val="0"/>
    <w:pPr>
      <w:spacing w:line="360" w:lineRule="auto"/>
      <w:ind w:firstLine="200" w:firstLineChars="200"/>
      <w:jc w:val="left"/>
    </w:pPr>
    <w:rPr>
      <w:rFonts w:ascii="Times New Roman" w:hAnsi="Times New Roman"/>
      <w:szCs w:val="21"/>
    </w:rPr>
  </w:style>
  <w:style w:type="paragraph" w:customStyle="1" w:styleId="218">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19">
    <w:name w:val="样式 正文文本 + 宋体 首行缩进:  0.74 厘米 行距: 1.5 倍行距"/>
    <w:basedOn w:val="17"/>
    <w:qFormat/>
    <w:uiPriority w:val="0"/>
    <w:pPr>
      <w:widowControl w:val="0"/>
      <w:spacing w:before="0" w:beforeAutospacing="0" w:after="120" w:afterAutospacing="0" w:line="360" w:lineRule="auto"/>
      <w:ind w:firstLine="200" w:firstLineChars="200"/>
      <w:jc w:val="both"/>
    </w:pPr>
    <w:rPr>
      <w:rFonts w:hint="default" w:ascii="Calibri" w:hAnsi="Calibri"/>
      <w:kern w:val="2"/>
      <w:szCs w:val="22"/>
    </w:rPr>
  </w:style>
  <w:style w:type="paragraph" w:customStyle="1" w:styleId="220">
    <w:name w:val="字元 字元 字元 字元 字元"/>
    <w:basedOn w:val="1"/>
    <w:qFormat/>
    <w:uiPriority w:val="0"/>
    <w:rPr>
      <w:rFonts w:ascii="Times New Roman" w:hAnsi="Times New Roman"/>
      <w:sz w:val="21"/>
    </w:rPr>
  </w:style>
  <w:style w:type="paragraph" w:customStyle="1" w:styleId="221">
    <w:name w:val="标题 3 New"/>
    <w:qFormat/>
    <w:uiPriority w:val="0"/>
    <w:pPr>
      <w:keepNext/>
      <w:keepLines/>
      <w:spacing w:before="260" w:after="260" w:line="416" w:lineRule="auto"/>
      <w:outlineLvl w:val="2"/>
    </w:pPr>
    <w:rPr>
      <w:rFonts w:ascii="Times New Roman" w:hAnsi="Times New Roman" w:eastAsia="宋体" w:cs="Times New Roman"/>
      <w:b/>
      <w:bCs/>
      <w:sz w:val="32"/>
      <w:szCs w:val="32"/>
      <w:lang w:val="en-US" w:eastAsia="zh-CN" w:bidi="ar-SA"/>
    </w:rPr>
  </w:style>
  <w:style w:type="paragraph" w:customStyle="1" w:styleId="222">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页眉 New"/>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customStyle="1" w:styleId="224">
    <w:name w:val="Pa6"/>
    <w:basedOn w:val="1"/>
    <w:next w:val="1"/>
    <w:qFormat/>
    <w:uiPriority w:val="0"/>
    <w:pPr>
      <w:autoSpaceDE w:val="0"/>
      <w:autoSpaceDN w:val="0"/>
      <w:adjustRightInd w:val="0"/>
      <w:spacing w:line="201" w:lineRule="atLeast"/>
      <w:jc w:val="left"/>
    </w:pPr>
    <w:rPr>
      <w:rFonts w:ascii="微软雅黑" w:hAnsi="Times New Roman" w:eastAsia="微软雅黑"/>
      <w:kern w:val="0"/>
    </w:rPr>
  </w:style>
  <w:style w:type="paragraph" w:customStyle="1" w:styleId="225">
    <w:name w:val="List Paragraph1"/>
    <w:basedOn w:val="1"/>
    <w:qFormat/>
    <w:uiPriority w:val="0"/>
    <w:pPr>
      <w:ind w:firstLine="420" w:firstLineChars="200"/>
    </w:pPr>
    <w:rPr>
      <w:rFonts w:ascii="Times New Roman" w:hAnsi="Times New Roman"/>
      <w:sz w:val="21"/>
    </w:rPr>
  </w:style>
  <w:style w:type="paragraph" w:customStyle="1" w:styleId="226">
    <w:name w:val="列出段落1"/>
    <w:basedOn w:val="1"/>
    <w:qFormat/>
    <w:uiPriority w:val="0"/>
    <w:pPr>
      <w:ind w:firstLine="420" w:firstLineChars="200"/>
    </w:pPr>
    <w:rPr>
      <w:rFonts w:ascii="Calibri" w:hAnsi="Calibri"/>
      <w:sz w:val="21"/>
      <w:szCs w:val="22"/>
    </w:rPr>
  </w:style>
  <w:style w:type="paragraph" w:customStyle="1" w:styleId="227">
    <w:name w:val="ecxmsonormal"/>
    <w:basedOn w:val="1"/>
    <w:qFormat/>
    <w:uiPriority w:val="0"/>
    <w:pPr>
      <w:widowControl/>
      <w:spacing w:after="324"/>
      <w:jc w:val="left"/>
    </w:pPr>
    <w:rPr>
      <w:rFonts w:ascii="宋体" w:hAnsi="宋体" w:cs="宋体"/>
      <w:kern w:val="0"/>
    </w:rPr>
  </w:style>
  <w:style w:type="paragraph" w:customStyle="1" w:styleId="228">
    <w:name w:val="Normal_21"/>
    <w:qFormat/>
    <w:uiPriority w:val="0"/>
    <w:pPr>
      <w:spacing w:before="120" w:after="240"/>
      <w:jc w:val="both"/>
    </w:pPr>
    <w:rPr>
      <w:rFonts w:ascii="Calibri" w:hAnsi="Calibri" w:eastAsia="Calibri" w:cs="Times New Roman"/>
      <w:sz w:val="22"/>
      <w:szCs w:val="22"/>
      <w:lang w:val="ru-RU" w:eastAsia="en-US" w:bidi="ar-SA"/>
    </w:rPr>
  </w:style>
  <w:style w:type="paragraph" w:customStyle="1" w:styleId="229">
    <w:name w:val="样式 小四 加粗 行距: 多倍行距 1.25 字行"/>
    <w:basedOn w:val="1"/>
    <w:qFormat/>
    <w:uiPriority w:val="0"/>
    <w:pPr>
      <w:tabs>
        <w:tab w:val="left" w:pos="1320"/>
      </w:tabs>
      <w:spacing w:beforeLines="50" w:afterLines="50" w:line="300" w:lineRule="auto"/>
      <w:ind w:left="1320" w:hanging="960"/>
    </w:pPr>
    <w:rPr>
      <w:rFonts w:ascii="Times New Roman" w:hAnsi="Times New Roman"/>
      <w:b/>
    </w:rPr>
  </w:style>
  <w:style w:type="paragraph" w:customStyle="1" w:styleId="230">
    <w:name w:val="Char5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31">
    <w:name w:val="Char1"/>
    <w:basedOn w:val="14"/>
    <w:qFormat/>
    <w:uiPriority w:val="0"/>
    <w:rPr>
      <w:rFonts w:ascii="Times New Roman" w:hAnsi="Times New Roman"/>
      <w:sz w:val="21"/>
    </w:rPr>
  </w:style>
  <w:style w:type="paragraph" w:customStyle="1" w:styleId="232">
    <w:name w:val="Char Char10 Char Char"/>
    <w:basedOn w:val="1"/>
    <w:qFormat/>
    <w:uiPriority w:val="0"/>
    <w:pPr>
      <w:widowControl/>
      <w:spacing w:line="400" w:lineRule="exact"/>
      <w:jc w:val="center"/>
    </w:pPr>
    <w:rPr>
      <w:rFonts w:ascii="Times New Roman" w:hAnsi="Times New Roman"/>
      <w:sz w:val="21"/>
    </w:rPr>
  </w:style>
  <w:style w:type="paragraph" w:customStyle="1" w:styleId="233">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34">
    <w:name w:val="Char Char Char Char Char Char Char Char1 Char Char Char Char"/>
    <w:basedOn w:val="1"/>
    <w:qFormat/>
    <w:uiPriority w:val="0"/>
    <w:pPr>
      <w:spacing w:after="160" w:line="240" w:lineRule="exact"/>
      <w:jc w:val="left"/>
    </w:pPr>
    <w:rPr>
      <w:rFonts w:ascii="Times New Roman" w:hAnsi="Times New Roman"/>
      <w:sz w:val="21"/>
    </w:rPr>
  </w:style>
  <w:style w:type="paragraph" w:customStyle="1" w:styleId="235">
    <w:name w:val="p0"/>
    <w:basedOn w:val="1"/>
    <w:qFormat/>
    <w:uiPriority w:val="0"/>
    <w:pPr>
      <w:widowControl/>
    </w:pPr>
    <w:rPr>
      <w:rFonts w:ascii="Times New Roman" w:hAnsi="Times New Roman"/>
      <w:kern w:val="0"/>
      <w:sz w:val="21"/>
      <w:szCs w:val="21"/>
    </w:rPr>
  </w:style>
  <w:style w:type="paragraph" w:customStyle="1" w:styleId="236">
    <w:name w:val="默认段落字体 Para Char Char Char Char"/>
    <w:basedOn w:val="1"/>
    <w:qFormat/>
    <w:uiPriority w:val="0"/>
    <w:rPr>
      <w:rFonts w:ascii="Times New Roman" w:hAnsi="Times New Roman"/>
      <w:sz w:val="21"/>
    </w:rPr>
  </w:style>
  <w:style w:type="paragraph" w:customStyle="1" w:styleId="237">
    <w:name w:val="Char Char Char Char Char Char Char Char Char Char Char Char Char"/>
    <w:basedOn w:val="1"/>
    <w:qFormat/>
    <w:uiPriority w:val="0"/>
    <w:pPr>
      <w:widowControl/>
      <w:spacing w:after="160" w:line="240" w:lineRule="exact"/>
      <w:jc w:val="left"/>
    </w:pPr>
    <w:rPr>
      <w:rFonts w:ascii="Times New Roman" w:hAnsi="Times New Roman"/>
      <w:sz w:val="21"/>
    </w:rPr>
  </w:style>
  <w:style w:type="paragraph" w:customStyle="1" w:styleId="238">
    <w:name w:val="Pa9"/>
    <w:basedOn w:val="152"/>
    <w:next w:val="152"/>
    <w:qFormat/>
    <w:uiPriority w:val="0"/>
    <w:pPr>
      <w:spacing w:before="120" w:line="161" w:lineRule="atLeast"/>
    </w:pPr>
    <w:rPr>
      <w:rFonts w:ascii="..ì." w:hAnsi="Times New Roman" w:eastAsia="..ì." w:cs="Times New Roman"/>
      <w:color w:val="auto"/>
    </w:rPr>
  </w:style>
  <w:style w:type="paragraph" w:customStyle="1" w:styleId="239">
    <w:name w:val="页脚 New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240">
    <w:name w:val="_Style 36"/>
    <w:basedOn w:val="1"/>
    <w:qFormat/>
    <w:uiPriority w:val="0"/>
    <w:pPr>
      <w:widowControl/>
      <w:spacing w:line="400" w:lineRule="exact"/>
      <w:jc w:val="center"/>
    </w:pPr>
    <w:rPr>
      <w:rFonts w:ascii="仿宋_GB2312" w:hAnsi="Times New Roman" w:eastAsia="仿宋_GB2312"/>
      <w:b/>
      <w:sz w:val="32"/>
      <w:szCs w:val="32"/>
    </w:rPr>
  </w:style>
  <w:style w:type="paragraph" w:customStyle="1" w:styleId="241">
    <w:name w:val="Char2 Char Char Char Char Char Char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42">
    <w:name w:val="Char Char2 Char1"/>
    <w:basedOn w:val="1"/>
    <w:qFormat/>
    <w:uiPriority w:val="0"/>
    <w:rPr>
      <w:rFonts w:ascii="宋体" w:hAnsi="宋体"/>
      <w:b/>
      <w:sz w:val="28"/>
      <w:szCs w:val="28"/>
    </w:rPr>
  </w:style>
  <w:style w:type="paragraph" w:customStyle="1" w:styleId="243">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 w:val="21"/>
      <w:szCs w:val="20"/>
      <w:lang w:eastAsia="en-US"/>
    </w:rPr>
  </w:style>
  <w:style w:type="paragraph" w:customStyle="1" w:styleId="244">
    <w:name w:val="Char Char Char Char Char Char Char Char Char Char Char Char Char1"/>
    <w:basedOn w:val="1"/>
    <w:qFormat/>
    <w:uiPriority w:val="0"/>
    <w:pPr>
      <w:widowControl/>
      <w:spacing w:after="160" w:line="240" w:lineRule="exact"/>
      <w:jc w:val="left"/>
    </w:pPr>
    <w:rPr>
      <w:rFonts w:ascii="Times New Roman" w:hAnsi="Times New Roman"/>
      <w:sz w:val="21"/>
    </w:rPr>
  </w:style>
  <w:style w:type="paragraph" w:customStyle="1" w:styleId="245">
    <w:name w:val="普通 (Web)"/>
    <w:basedOn w:val="1"/>
    <w:qFormat/>
    <w:uiPriority w:val="0"/>
    <w:pPr>
      <w:widowControl/>
      <w:spacing w:before="100" w:beforeAutospacing="1" w:after="100" w:afterAutospacing="1"/>
      <w:jc w:val="left"/>
    </w:pPr>
    <w:rPr>
      <w:rFonts w:ascii="宋体" w:hAnsi="宋体"/>
      <w:kern w:val="0"/>
      <w:szCs w:val="20"/>
    </w:rPr>
  </w:style>
  <w:style w:type="paragraph" w:customStyle="1" w:styleId="246">
    <w:name w:val="页脚 New New"/>
    <w:basedOn w:val="1"/>
    <w:qFormat/>
    <w:uiPriority w:val="0"/>
    <w:pPr>
      <w:tabs>
        <w:tab w:val="center" w:pos="4153"/>
        <w:tab w:val="right" w:pos="8306"/>
      </w:tabs>
      <w:snapToGrid w:val="0"/>
      <w:jc w:val="left"/>
    </w:pPr>
    <w:rPr>
      <w:rFonts w:ascii="Times New Roman" w:hAnsi="Times New Roman"/>
      <w:sz w:val="18"/>
      <w:szCs w:val="18"/>
    </w:rPr>
  </w:style>
  <w:style w:type="paragraph" w:customStyle="1" w:styleId="247">
    <w:name w:val="普通正文"/>
    <w:basedOn w:val="1"/>
    <w:qFormat/>
    <w:uiPriority w:val="0"/>
    <w:pPr>
      <w:spacing w:line="360" w:lineRule="auto"/>
      <w:ind w:firstLine="480" w:firstLineChars="200"/>
    </w:pPr>
    <w:rPr>
      <w:rFonts w:ascii="Calibri" w:hAnsi="Calibri"/>
      <w:szCs w:val="20"/>
    </w:rPr>
  </w:style>
  <w:style w:type="paragraph" w:customStyle="1" w:styleId="248">
    <w:name w:val="Table Paragraph"/>
    <w:basedOn w:val="1"/>
    <w:qFormat/>
    <w:uiPriority w:val="0"/>
    <w:pPr>
      <w:jc w:val="left"/>
    </w:pPr>
    <w:rPr>
      <w:rFonts w:ascii="宋体" w:hAnsi="宋体" w:cs="宋体"/>
      <w:kern w:val="0"/>
      <w:sz w:val="22"/>
      <w:szCs w:val="22"/>
      <w:lang w:eastAsia="en-US"/>
    </w:rPr>
  </w:style>
  <w:style w:type="paragraph" w:customStyle="1" w:styleId="249">
    <w:name w:val="办公自动化专用标题"/>
    <w:basedOn w:val="4"/>
    <w:qFormat/>
    <w:uiPriority w:val="0"/>
    <w:pPr>
      <w:spacing w:line="416" w:lineRule="auto"/>
    </w:pPr>
    <w:rPr>
      <w:rFonts w:ascii="Times New Roman" w:hAnsi="Times New Roman"/>
      <w:sz w:val="21"/>
      <w:szCs w:val="21"/>
    </w:rPr>
  </w:style>
  <w:style w:type="paragraph" w:customStyle="1" w:styleId="250">
    <w:name w:val="列出段落2"/>
    <w:basedOn w:val="1"/>
    <w:qFormat/>
    <w:uiPriority w:val="0"/>
    <w:pPr>
      <w:ind w:firstLine="420" w:firstLineChars="200"/>
    </w:pPr>
    <w:rPr>
      <w:rFonts w:ascii="Calibri" w:hAnsi="Calibri"/>
      <w:sz w:val="21"/>
      <w:szCs w:val="22"/>
    </w:rPr>
  </w:style>
  <w:style w:type="paragraph" w:customStyle="1" w:styleId="251">
    <w:name w:val="Char Char1 Char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52">
    <w:name w:val="Char Char4 Char Char"/>
    <w:basedOn w:val="1"/>
    <w:qFormat/>
    <w:uiPriority w:val="0"/>
    <w:pPr>
      <w:widowControl/>
      <w:spacing w:after="160" w:line="240" w:lineRule="exact"/>
      <w:jc w:val="left"/>
    </w:pPr>
    <w:rPr>
      <w:rFonts w:ascii="Calibri" w:hAnsi="Calibri"/>
      <w:sz w:val="21"/>
      <w:szCs w:val="22"/>
    </w:rPr>
  </w:style>
  <w:style w:type="character" w:customStyle="1" w:styleId="253">
    <w:name w:val="正文文本缩进 Char1"/>
    <w:basedOn w:val="46"/>
    <w:qFormat/>
    <w:uiPriority w:val="0"/>
    <w:rPr>
      <w:rFonts w:ascii="仿宋_GB2312" w:eastAsia="仿宋_GB2312"/>
      <w:kern w:val="2"/>
      <w:sz w:val="32"/>
    </w:rPr>
  </w:style>
  <w:style w:type="paragraph" w:customStyle="1" w:styleId="254">
    <w:name w:val="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TOC 标题11"/>
    <w:basedOn w:val="2"/>
    <w:next w:val="1"/>
    <w:qFormat/>
    <w:uiPriority w:val="39"/>
    <w:pPr>
      <w:widowControl/>
      <w:spacing w:before="480" w:after="0" w:line="276" w:lineRule="auto"/>
      <w:jc w:val="left"/>
      <w:outlineLvl w:val="9"/>
    </w:pPr>
    <w:rPr>
      <w:rFonts w:ascii="Cambria" w:hAnsi="Cambria"/>
      <w:b/>
      <w:bCs/>
      <w:color w:val="365F91"/>
      <w:kern w:val="0"/>
      <w:sz w:val="28"/>
      <w:szCs w:val="28"/>
    </w:rPr>
  </w:style>
  <w:style w:type="paragraph" w:customStyle="1" w:styleId="256">
    <w:name w:val="_Style 255"/>
    <w:qFormat/>
    <w:uiPriority w:val="99"/>
    <w:pPr>
      <w:widowControl w:val="0"/>
      <w:jc w:val="both"/>
    </w:pPr>
    <w:rPr>
      <w:rFonts w:ascii="Tahoma" w:hAnsi="Tahoma" w:eastAsia="宋体" w:cs="Times New Roman"/>
      <w:kern w:val="2"/>
      <w:sz w:val="24"/>
      <w:szCs w:val="24"/>
      <w:lang w:val="en-US" w:eastAsia="zh-CN" w:bidi="ar-SA"/>
    </w:rPr>
  </w:style>
  <w:style w:type="character" w:customStyle="1" w:styleId="257">
    <w:name w:val="正文1{858D7CFB-ED40-4347-BF05-701D383B685F}"/>
    <w:qFormat/>
    <w:uiPriority w:val="0"/>
    <w:rPr>
      <w:rFonts w:ascii="宋体" w:hAnsi="Times New Roman"/>
      <w:szCs w:val="20"/>
    </w:rPr>
  </w:style>
  <w:style w:type="paragraph" w:customStyle="1" w:styleId="258">
    <w:name w:val="Char Char Char2"/>
    <w:basedOn w:val="1"/>
    <w:qFormat/>
    <w:uiPriority w:val="0"/>
    <w:rPr>
      <w:szCs w:val="20"/>
    </w:rPr>
  </w:style>
  <w:style w:type="paragraph" w:customStyle="1" w:styleId="259">
    <w:name w:val="Char Char Char1 Char Char Char Char Char Char Char Char Char Char1"/>
    <w:basedOn w:val="1"/>
    <w:qFormat/>
    <w:uiPriority w:val="0"/>
    <w:rPr>
      <w:szCs w:val="20"/>
    </w:rPr>
  </w:style>
  <w:style w:type="paragraph" w:customStyle="1" w:styleId="260">
    <w:name w:val="Char3"/>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61">
    <w:name w:val="Zchn Zchn"/>
    <w:basedOn w:val="1"/>
    <w:qFormat/>
    <w:uiPriority w:val="0"/>
    <w:rPr>
      <w:szCs w:val="20"/>
    </w:rPr>
  </w:style>
  <w:style w:type="paragraph" w:customStyle="1" w:styleId="262">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263">
    <w:name w:val="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264">
    <w:name w:val="Char Char2 Char2"/>
    <w:basedOn w:val="1"/>
    <w:qFormat/>
    <w:uiPriority w:val="0"/>
    <w:rPr>
      <w:rFonts w:ascii="Times New Roman" w:hAnsi="Times New Roman"/>
      <w:sz w:val="21"/>
    </w:rPr>
  </w:style>
  <w:style w:type="paragraph" w:customStyle="1" w:styleId="265">
    <w:name w:val="Char Char3 Char Char1"/>
    <w:basedOn w:val="1"/>
    <w:qFormat/>
    <w:uiPriority w:val="0"/>
    <w:rPr>
      <w:rFonts w:ascii="宋体" w:hAnsi="宋体"/>
      <w:b/>
      <w:sz w:val="28"/>
      <w:szCs w:val="28"/>
    </w:rPr>
  </w:style>
  <w:style w:type="paragraph" w:customStyle="1" w:styleId="266">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样式5"/>
    <w:basedOn w:val="119"/>
    <w:qFormat/>
    <w:uiPriority w:val="0"/>
    <w:pPr>
      <w:pBdr>
        <w:top w:val="single" w:color="auto" w:sz="4" w:space="1"/>
      </w:pBdr>
    </w:pPr>
    <w:rPr>
      <w:rFonts w:ascii="仿宋" w:hAnsi="仿宋" w:eastAsia="仿宋"/>
      <w:sz w:val="21"/>
    </w:rPr>
  </w:style>
  <w:style w:type="paragraph" w:customStyle="1" w:styleId="268">
    <w:name w:val="样式6"/>
    <w:basedOn w:val="27"/>
    <w:qFormat/>
    <w:uiPriority w:val="0"/>
    <w:rPr>
      <w:szCs w:val="21"/>
    </w:rPr>
  </w:style>
  <w:style w:type="paragraph" w:customStyle="1" w:styleId="269">
    <w:name w:val="样式7"/>
    <w:basedOn w:val="28"/>
    <w:qFormat/>
    <w:uiPriority w:val="0"/>
    <w:pPr>
      <w:pBdr>
        <w:bottom w:val="none" w:color="auto" w:sz="0" w:space="0"/>
      </w:pBdr>
    </w:pPr>
  </w:style>
  <w:style w:type="paragraph" w:customStyle="1" w:styleId="270">
    <w:name w:val="Char1 Char Char Char1"/>
    <w:basedOn w:val="1"/>
    <w:qFormat/>
    <w:uiPriority w:val="0"/>
    <w:rPr>
      <w:szCs w:val="20"/>
    </w:rPr>
  </w:style>
  <w:style w:type="paragraph" w:customStyle="1" w:styleId="271">
    <w:name w:val="Char Char Char Char Char Char1 Char Char Char Char Char Char Char Char Char Char Char Char Char Char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72">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273">
    <w:name w:val="Char Char Char1 Char Char Char2 Char Char Char Char Char Char1"/>
    <w:basedOn w:val="14"/>
    <w:qFormat/>
    <w:uiPriority w:val="0"/>
    <w:rPr>
      <w:rFonts w:cs="Tahoma"/>
      <w:kern w:val="0"/>
      <w:sz w:val="18"/>
    </w:rPr>
  </w:style>
  <w:style w:type="table" w:customStyle="1" w:styleId="274">
    <w:name w:val="网格型1"/>
    <w:basedOn w:val="44"/>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5">
    <w:name w:val="Zchn Zchn1"/>
    <w:basedOn w:val="1"/>
    <w:qFormat/>
    <w:uiPriority w:val="0"/>
    <w:rPr>
      <w:szCs w:val="20"/>
    </w:rPr>
  </w:style>
  <w:style w:type="character" w:customStyle="1" w:styleId="276">
    <w:name w:val="纯文本 Char2"/>
    <w:semiHidden/>
    <w:qFormat/>
    <w:uiPriority w:val="99"/>
    <w:rPr>
      <w:rFonts w:ascii="宋体" w:hAnsi="Courier New" w:eastAsia="宋体" w:cs="Courier New"/>
      <w:szCs w:val="21"/>
    </w:rPr>
  </w:style>
  <w:style w:type="paragraph" w:customStyle="1" w:styleId="277">
    <w:name w:val="Char Char Char3"/>
    <w:basedOn w:val="1"/>
    <w:qFormat/>
    <w:uiPriority w:val="0"/>
    <w:rPr>
      <w:szCs w:val="20"/>
    </w:rPr>
  </w:style>
  <w:style w:type="paragraph" w:customStyle="1" w:styleId="278">
    <w:name w:val="Char Char Char1 Char Char Char Char Char Char Char Char Char Char2"/>
    <w:basedOn w:val="1"/>
    <w:qFormat/>
    <w:uiPriority w:val="0"/>
    <w:rPr>
      <w:szCs w:val="20"/>
    </w:rPr>
  </w:style>
  <w:style w:type="paragraph" w:customStyle="1" w:styleId="279">
    <w:name w:val="Char4"/>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character" w:customStyle="1" w:styleId="280">
    <w:name w:val="页脚 Char1"/>
    <w:basedOn w:val="46"/>
    <w:semiHidden/>
    <w:qFormat/>
    <w:uiPriority w:val="99"/>
    <w:rPr>
      <w:rFonts w:ascii="Tahoma" w:hAnsi="Tahoma"/>
      <w:kern w:val="2"/>
      <w:sz w:val="18"/>
      <w:szCs w:val="18"/>
    </w:rPr>
  </w:style>
  <w:style w:type="paragraph" w:customStyle="1" w:styleId="281">
    <w:name w:val="Zchn Zchn2"/>
    <w:basedOn w:val="1"/>
    <w:qFormat/>
    <w:uiPriority w:val="0"/>
    <w:rPr>
      <w:szCs w:val="20"/>
    </w:rPr>
  </w:style>
  <w:style w:type="paragraph" w:customStyle="1" w:styleId="282">
    <w:name w:val="Char Char Char Char3"/>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283">
    <w:name w:val="Char 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284">
    <w:name w:val="页眉 Char1"/>
    <w:basedOn w:val="46"/>
    <w:semiHidden/>
    <w:qFormat/>
    <w:uiPriority w:val="99"/>
    <w:rPr>
      <w:rFonts w:ascii="Tahoma" w:hAnsi="Tahoma"/>
      <w:kern w:val="2"/>
      <w:sz w:val="18"/>
      <w:szCs w:val="18"/>
    </w:rPr>
  </w:style>
  <w:style w:type="paragraph" w:customStyle="1" w:styleId="285">
    <w:name w:val="Char Char2 Char3"/>
    <w:basedOn w:val="1"/>
    <w:qFormat/>
    <w:uiPriority w:val="0"/>
    <w:rPr>
      <w:rFonts w:ascii="Times New Roman" w:hAnsi="Times New Roman"/>
      <w:sz w:val="21"/>
    </w:rPr>
  </w:style>
  <w:style w:type="paragraph" w:customStyle="1" w:styleId="286">
    <w:name w:val="Char Char3 Char Char2"/>
    <w:basedOn w:val="1"/>
    <w:qFormat/>
    <w:uiPriority w:val="0"/>
    <w:rPr>
      <w:rFonts w:ascii="宋体" w:hAnsi="宋体"/>
      <w:b/>
      <w:sz w:val="28"/>
      <w:szCs w:val="28"/>
    </w:rPr>
  </w:style>
  <w:style w:type="paragraph" w:customStyle="1" w:styleId="287">
    <w:name w:val="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88">
    <w:name w:val="Char1 Char Char Char2"/>
    <w:basedOn w:val="1"/>
    <w:qFormat/>
    <w:uiPriority w:val="0"/>
    <w:rPr>
      <w:szCs w:val="20"/>
    </w:rPr>
  </w:style>
  <w:style w:type="paragraph" w:customStyle="1" w:styleId="289">
    <w:name w:val="Char Char Char Char Char Char1 Char Char Char Char Char Char Char Char Char Char Char Char Char Char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90">
    <w:name w:val="Char Char Char Char Char Char1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291">
    <w:name w:val="Char Char Char1 Char Char Char2 Char Char Char Char Char Char2"/>
    <w:basedOn w:val="14"/>
    <w:qFormat/>
    <w:uiPriority w:val="0"/>
    <w:rPr>
      <w:rFonts w:cs="Tahoma"/>
      <w:kern w:val="0"/>
      <w:sz w:val="18"/>
    </w:rPr>
  </w:style>
  <w:style w:type="paragraph" w:customStyle="1" w:styleId="292">
    <w:name w:val="font9"/>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9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ahoma"/>
      <w:color w:val="000000"/>
      <w:kern w:val="0"/>
      <w:sz w:val="21"/>
      <w:szCs w:val="21"/>
    </w:rPr>
  </w:style>
  <w:style w:type="paragraph" w:customStyle="1" w:styleId="294">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5">
    <w:name w:val="xl9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cs="Tahoma"/>
      <w:color w:val="000000"/>
      <w:kern w:val="0"/>
      <w:sz w:val="21"/>
      <w:szCs w:val="21"/>
    </w:rPr>
  </w:style>
  <w:style w:type="paragraph" w:customStyle="1" w:styleId="296">
    <w:name w:val="xl9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cs="Tahoma"/>
      <w:color w:val="000000"/>
      <w:kern w:val="0"/>
      <w:sz w:val="21"/>
      <w:szCs w:val="21"/>
    </w:rPr>
  </w:style>
  <w:style w:type="paragraph" w:customStyle="1" w:styleId="297">
    <w:name w:val="xl100"/>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cs="Tahoma"/>
      <w:color w:val="000000"/>
      <w:kern w:val="0"/>
      <w:sz w:val="21"/>
      <w:szCs w:val="21"/>
    </w:rPr>
  </w:style>
  <w:style w:type="paragraph" w:customStyle="1" w:styleId="298">
    <w:name w:val="xl101"/>
    <w:basedOn w:val="1"/>
    <w:qFormat/>
    <w:uiPriority w:val="0"/>
    <w:pPr>
      <w:widowControl/>
      <w:pBdr>
        <w:top w:val="single" w:color="auto" w:sz="8" w:space="0"/>
        <w:bottom w:val="single" w:color="auto" w:sz="8" w:space="0"/>
      </w:pBdr>
      <w:spacing w:before="100" w:beforeAutospacing="1" w:after="100" w:afterAutospacing="1"/>
      <w:jc w:val="left"/>
    </w:pPr>
    <w:rPr>
      <w:rFonts w:cs="Tahoma"/>
      <w:color w:val="000000"/>
      <w:kern w:val="0"/>
      <w:sz w:val="21"/>
      <w:szCs w:val="21"/>
    </w:rPr>
  </w:style>
  <w:style w:type="paragraph" w:customStyle="1" w:styleId="299">
    <w:name w:val="xl102"/>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cs="Tahoma"/>
      <w:color w:val="000000"/>
      <w:kern w:val="0"/>
      <w:sz w:val="21"/>
      <w:szCs w:val="21"/>
    </w:rPr>
  </w:style>
  <w:style w:type="paragraph" w:customStyle="1" w:styleId="300">
    <w:name w:val="xl103"/>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01">
    <w:name w:val="xl104"/>
    <w:basedOn w:val="1"/>
    <w:qFormat/>
    <w:uiPriority w:val="0"/>
    <w:pPr>
      <w:widowControl/>
      <w:pBdr>
        <w:left w:val="single" w:color="auto" w:sz="8" w:space="0"/>
        <w:bottom w:val="single" w:color="auto" w:sz="8" w:space="0"/>
      </w:pBdr>
      <w:spacing w:before="100" w:beforeAutospacing="1" w:after="100" w:afterAutospacing="1"/>
      <w:jc w:val="center"/>
    </w:pPr>
    <w:rPr>
      <w:rFonts w:cs="Tahoma"/>
      <w:color w:val="000000"/>
      <w:kern w:val="0"/>
      <w:sz w:val="21"/>
      <w:szCs w:val="21"/>
    </w:rPr>
  </w:style>
  <w:style w:type="paragraph" w:customStyle="1" w:styleId="302">
    <w:name w:val="xl105"/>
    <w:basedOn w:val="1"/>
    <w:qFormat/>
    <w:uiPriority w:val="0"/>
    <w:pPr>
      <w:widowControl/>
      <w:pBdr>
        <w:top w:val="single" w:color="auto" w:sz="8" w:space="0"/>
        <w:left w:val="single" w:color="auto" w:sz="8" w:space="0"/>
        <w:bottom w:val="single" w:color="auto" w:sz="8" w:space="0"/>
      </w:pBdr>
      <w:spacing w:before="100" w:beforeAutospacing="1" w:after="100" w:afterAutospacing="1"/>
    </w:pPr>
    <w:rPr>
      <w:rFonts w:ascii="宋体" w:hAnsi="宋体" w:cs="宋体"/>
      <w:color w:val="000000"/>
      <w:kern w:val="0"/>
      <w:sz w:val="21"/>
      <w:szCs w:val="21"/>
    </w:rPr>
  </w:style>
  <w:style w:type="paragraph" w:customStyle="1" w:styleId="303">
    <w:name w:val="xl106"/>
    <w:basedOn w:val="1"/>
    <w:qFormat/>
    <w:uiPriority w:val="0"/>
    <w:pPr>
      <w:widowControl/>
      <w:pBdr>
        <w:top w:val="single" w:color="auto" w:sz="8" w:space="0"/>
        <w:bottom w:val="single" w:color="auto" w:sz="8" w:space="0"/>
      </w:pBdr>
      <w:spacing w:before="100" w:beforeAutospacing="1" w:after="100" w:afterAutospacing="1"/>
    </w:pPr>
    <w:rPr>
      <w:rFonts w:ascii="宋体" w:hAnsi="宋体" w:cs="宋体"/>
      <w:color w:val="000000"/>
      <w:kern w:val="0"/>
      <w:sz w:val="21"/>
      <w:szCs w:val="21"/>
    </w:rPr>
  </w:style>
  <w:style w:type="paragraph" w:customStyle="1" w:styleId="304">
    <w:name w:val="xl107"/>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color w:val="000000"/>
      <w:kern w:val="0"/>
      <w:sz w:val="21"/>
      <w:szCs w:val="21"/>
    </w:rPr>
  </w:style>
  <w:style w:type="paragraph" w:customStyle="1" w:styleId="305">
    <w:name w:val="xl108"/>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color w:val="000000"/>
      <w:kern w:val="0"/>
      <w:sz w:val="21"/>
      <w:szCs w:val="21"/>
    </w:rPr>
  </w:style>
  <w:style w:type="paragraph" w:customStyle="1" w:styleId="306">
    <w:name w:val="xl109"/>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color w:val="000000"/>
      <w:kern w:val="0"/>
      <w:sz w:val="21"/>
      <w:szCs w:val="21"/>
    </w:rPr>
  </w:style>
  <w:style w:type="paragraph" w:customStyle="1" w:styleId="307">
    <w:name w:val="xl110"/>
    <w:basedOn w:val="1"/>
    <w:qFormat/>
    <w:uiPriority w:val="0"/>
    <w:pPr>
      <w:widowControl/>
      <w:pBdr>
        <w:bottom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08">
    <w:name w:val="xl111"/>
    <w:basedOn w:val="1"/>
    <w:qFormat/>
    <w:uiPriority w:val="0"/>
    <w:pPr>
      <w:widowControl/>
      <w:pBdr>
        <w:top w:val="single" w:color="000000" w:sz="8" w:space="0"/>
        <w:lef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09">
    <w:name w:val="xl112"/>
    <w:basedOn w:val="1"/>
    <w:qFormat/>
    <w:uiPriority w:val="0"/>
    <w:pPr>
      <w:widowControl/>
      <w:pBdr>
        <w:lef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10">
    <w:name w:val="xl113"/>
    <w:basedOn w:val="1"/>
    <w:qFormat/>
    <w:uiPriority w:val="0"/>
    <w:pPr>
      <w:widowControl/>
      <w:pBdr>
        <w:left w:val="single" w:color="auto" w:sz="8" w:space="0"/>
        <w:bottom w:val="single" w:color="000000" w:sz="8" w:space="0"/>
      </w:pBdr>
      <w:spacing w:before="100" w:beforeAutospacing="1" w:after="100" w:afterAutospacing="1"/>
      <w:jc w:val="center"/>
    </w:pPr>
    <w:rPr>
      <w:rFonts w:ascii="宋体" w:hAnsi="宋体" w:cs="宋体"/>
      <w:color w:val="000000"/>
      <w:kern w:val="0"/>
      <w:sz w:val="21"/>
      <w:szCs w:val="21"/>
    </w:rPr>
  </w:style>
  <w:style w:type="paragraph" w:customStyle="1" w:styleId="311">
    <w:name w:val="xl114"/>
    <w:basedOn w:val="1"/>
    <w:qFormat/>
    <w:uiPriority w:val="0"/>
    <w:pPr>
      <w:widowControl/>
      <w:pBdr>
        <w:top w:val="single" w:color="auto" w:sz="8" w:space="0"/>
        <w:left w:val="single" w:color="auto" w:sz="8" w:space="0"/>
        <w:bottom w:val="single" w:color="auto" w:sz="8" w:space="0"/>
      </w:pBdr>
      <w:spacing w:before="100" w:beforeAutospacing="1" w:after="100" w:afterAutospacing="1"/>
    </w:pPr>
    <w:rPr>
      <w:rFonts w:ascii="宋体" w:hAnsi="宋体" w:cs="宋体"/>
      <w:color w:val="000000"/>
      <w:kern w:val="0"/>
      <w:sz w:val="21"/>
      <w:szCs w:val="21"/>
    </w:rPr>
  </w:style>
  <w:style w:type="paragraph" w:customStyle="1" w:styleId="312">
    <w:name w:val="xl115"/>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ascii="宋体" w:hAnsi="宋体" w:cs="宋体"/>
      <w:color w:val="000000"/>
      <w:kern w:val="0"/>
      <w:sz w:val="21"/>
      <w:szCs w:val="21"/>
    </w:rPr>
  </w:style>
  <w:style w:type="paragraph" w:customStyle="1" w:styleId="313">
    <w:name w:val="xl116"/>
    <w:basedOn w:val="1"/>
    <w:qFormat/>
    <w:uiPriority w:val="0"/>
    <w:pPr>
      <w:widowControl/>
      <w:pBdr>
        <w:left w:val="single" w:color="auto" w:sz="8" w:space="0"/>
      </w:pBdr>
      <w:spacing w:before="100" w:beforeAutospacing="1" w:after="100" w:afterAutospacing="1"/>
    </w:pPr>
    <w:rPr>
      <w:rFonts w:ascii="宋体" w:hAnsi="宋体" w:cs="宋体"/>
      <w:kern w:val="0"/>
      <w:sz w:val="21"/>
      <w:szCs w:val="21"/>
    </w:rPr>
  </w:style>
  <w:style w:type="paragraph" w:customStyle="1" w:styleId="314">
    <w:name w:val="xl117"/>
    <w:basedOn w:val="1"/>
    <w:qFormat/>
    <w:uiPriority w:val="0"/>
    <w:pPr>
      <w:widowControl/>
      <w:spacing w:before="100" w:beforeAutospacing="1" w:after="100" w:afterAutospacing="1"/>
    </w:pPr>
    <w:rPr>
      <w:rFonts w:ascii="宋体" w:hAnsi="宋体" w:cs="宋体"/>
      <w:kern w:val="0"/>
      <w:sz w:val="21"/>
      <w:szCs w:val="21"/>
    </w:rPr>
  </w:style>
  <w:style w:type="paragraph" w:customStyle="1" w:styleId="315">
    <w:name w:val="xl118"/>
    <w:basedOn w:val="1"/>
    <w:qFormat/>
    <w:uiPriority w:val="0"/>
    <w:pPr>
      <w:widowControl/>
      <w:pBdr>
        <w:right w:val="single" w:color="000000" w:sz="8" w:space="0"/>
      </w:pBdr>
      <w:spacing w:before="100" w:beforeAutospacing="1" w:after="100" w:afterAutospacing="1"/>
    </w:pPr>
    <w:rPr>
      <w:rFonts w:ascii="宋体" w:hAnsi="宋体" w:cs="宋体"/>
      <w:kern w:val="0"/>
      <w:sz w:val="21"/>
      <w:szCs w:val="21"/>
    </w:rPr>
  </w:style>
  <w:style w:type="paragraph" w:customStyle="1" w:styleId="316">
    <w:name w:val="xl119"/>
    <w:basedOn w:val="1"/>
    <w:qFormat/>
    <w:uiPriority w:val="0"/>
    <w:pPr>
      <w:widowControl/>
      <w:pBdr>
        <w:left w:val="single" w:color="auto" w:sz="8" w:space="0"/>
        <w:bottom w:val="single" w:color="000000" w:sz="8" w:space="0"/>
      </w:pBdr>
      <w:spacing w:before="100" w:beforeAutospacing="1" w:after="100" w:afterAutospacing="1"/>
    </w:pPr>
    <w:rPr>
      <w:rFonts w:ascii="宋体" w:hAnsi="宋体" w:cs="宋体"/>
      <w:kern w:val="0"/>
      <w:sz w:val="21"/>
      <w:szCs w:val="21"/>
    </w:rPr>
  </w:style>
  <w:style w:type="paragraph" w:customStyle="1" w:styleId="317">
    <w:name w:val="xl120"/>
    <w:basedOn w:val="1"/>
    <w:qFormat/>
    <w:uiPriority w:val="0"/>
    <w:pPr>
      <w:widowControl/>
      <w:pBdr>
        <w:bottom w:val="single" w:color="000000" w:sz="8" w:space="0"/>
      </w:pBdr>
      <w:spacing w:before="100" w:beforeAutospacing="1" w:after="100" w:afterAutospacing="1"/>
    </w:pPr>
    <w:rPr>
      <w:rFonts w:ascii="宋体" w:hAnsi="宋体" w:cs="宋体"/>
      <w:kern w:val="0"/>
      <w:sz w:val="21"/>
      <w:szCs w:val="21"/>
    </w:rPr>
  </w:style>
  <w:style w:type="paragraph" w:customStyle="1" w:styleId="318">
    <w:name w:val="xl121"/>
    <w:basedOn w:val="1"/>
    <w:qFormat/>
    <w:uiPriority w:val="0"/>
    <w:pPr>
      <w:widowControl/>
      <w:pBdr>
        <w:bottom w:val="single" w:color="000000" w:sz="8" w:space="0"/>
        <w:right w:val="single" w:color="000000" w:sz="8" w:space="0"/>
      </w:pBdr>
      <w:spacing w:before="100" w:beforeAutospacing="1" w:after="100" w:afterAutospacing="1"/>
    </w:pPr>
    <w:rPr>
      <w:rFonts w:ascii="宋体" w:hAnsi="宋体" w:cs="宋体"/>
      <w:kern w:val="0"/>
      <w:sz w:val="21"/>
      <w:szCs w:val="21"/>
    </w:rPr>
  </w:style>
  <w:style w:type="paragraph" w:customStyle="1" w:styleId="319">
    <w:name w:val="xl122"/>
    <w:basedOn w:val="1"/>
    <w:qFormat/>
    <w:uiPriority w:val="0"/>
    <w:pPr>
      <w:widowControl/>
      <w:pBdr>
        <w:top w:val="single" w:color="000000" w:sz="8" w:space="0"/>
        <w:left w:val="single" w:color="auto" w:sz="8" w:space="0"/>
        <w:bottom w:val="single" w:color="auto" w:sz="8" w:space="0"/>
      </w:pBdr>
      <w:spacing w:before="100" w:beforeAutospacing="1" w:after="100" w:afterAutospacing="1"/>
      <w:jc w:val="center"/>
    </w:pPr>
    <w:rPr>
      <w:rFonts w:ascii="宋体" w:hAnsi="宋体" w:cs="宋体"/>
      <w:b/>
      <w:bCs/>
      <w:color w:val="000000"/>
      <w:kern w:val="0"/>
    </w:rPr>
  </w:style>
  <w:style w:type="paragraph" w:customStyle="1" w:styleId="320">
    <w:name w:val="xl123"/>
    <w:basedOn w:val="1"/>
    <w:qFormat/>
    <w:uiPriority w:val="0"/>
    <w:pPr>
      <w:widowControl/>
      <w:pBdr>
        <w:top w:val="single" w:color="000000" w:sz="8" w:space="0"/>
        <w:bottom w:val="single" w:color="auto" w:sz="8" w:space="0"/>
      </w:pBdr>
      <w:spacing w:before="100" w:beforeAutospacing="1" w:after="100" w:afterAutospacing="1"/>
      <w:jc w:val="center"/>
    </w:pPr>
    <w:rPr>
      <w:rFonts w:ascii="宋体" w:hAnsi="宋体" w:cs="宋体"/>
      <w:b/>
      <w:bCs/>
      <w:color w:val="000000"/>
      <w:kern w:val="0"/>
    </w:rPr>
  </w:style>
  <w:style w:type="paragraph" w:customStyle="1" w:styleId="321">
    <w:name w:val="xl124"/>
    <w:basedOn w:val="1"/>
    <w:qFormat/>
    <w:uiPriority w:val="0"/>
    <w:pPr>
      <w:widowControl/>
      <w:pBdr>
        <w:top w:val="single" w:color="000000"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rPr>
  </w:style>
  <w:style w:type="paragraph" w:customStyle="1" w:styleId="322">
    <w:name w:val="xl12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rPr>
  </w:style>
  <w:style w:type="paragraph" w:customStyle="1" w:styleId="323">
    <w:name w:val="xl126"/>
    <w:basedOn w:val="1"/>
    <w:qFormat/>
    <w:uiPriority w:val="0"/>
    <w:pPr>
      <w:widowControl/>
      <w:pBdr>
        <w:left w:val="single" w:color="auto" w:sz="8" w:space="0"/>
        <w:right w:val="single" w:color="auto" w:sz="8" w:space="0"/>
      </w:pBdr>
      <w:spacing w:before="100" w:beforeAutospacing="1" w:after="100" w:afterAutospacing="1"/>
      <w:jc w:val="center"/>
    </w:pPr>
    <w:rPr>
      <w:rFonts w:cs="Tahoma"/>
      <w:color w:val="000000"/>
      <w:kern w:val="0"/>
      <w:sz w:val="21"/>
      <w:szCs w:val="21"/>
    </w:rPr>
  </w:style>
  <w:style w:type="paragraph" w:customStyle="1" w:styleId="324">
    <w:name w:val="xl12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cs="Tahoma"/>
      <w:color w:val="000000"/>
      <w:kern w:val="0"/>
      <w:sz w:val="21"/>
      <w:szCs w:val="21"/>
    </w:rPr>
  </w:style>
  <w:style w:type="paragraph" w:customStyle="1" w:styleId="325">
    <w:name w:val="xl128"/>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26">
    <w:name w:val="xl129"/>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27">
    <w:name w:val="xl130"/>
    <w:basedOn w:val="1"/>
    <w:qFormat/>
    <w:uiPriority w:val="0"/>
    <w:pPr>
      <w:widowControl/>
      <w:pBdr>
        <w:top w:val="single" w:color="auto" w:sz="8" w:space="0"/>
        <w:left w:val="single" w:color="auto" w:sz="8" w:space="0"/>
      </w:pBdr>
      <w:spacing w:before="100" w:beforeAutospacing="1" w:after="100" w:afterAutospacing="1"/>
    </w:pPr>
    <w:rPr>
      <w:rFonts w:ascii="宋体" w:hAnsi="宋体" w:cs="宋体"/>
      <w:color w:val="000000"/>
      <w:kern w:val="0"/>
      <w:sz w:val="21"/>
      <w:szCs w:val="21"/>
    </w:rPr>
  </w:style>
  <w:style w:type="paragraph" w:customStyle="1" w:styleId="328">
    <w:name w:val="xl131"/>
    <w:basedOn w:val="1"/>
    <w:qFormat/>
    <w:uiPriority w:val="0"/>
    <w:pPr>
      <w:widowControl/>
      <w:pBdr>
        <w:top w:val="single" w:color="auto" w:sz="8" w:space="0"/>
        <w:right w:val="single" w:color="auto" w:sz="8" w:space="0"/>
      </w:pBdr>
      <w:spacing w:before="100" w:beforeAutospacing="1" w:after="100" w:afterAutospacing="1"/>
    </w:pPr>
    <w:rPr>
      <w:rFonts w:ascii="宋体" w:hAnsi="宋体" w:cs="宋体"/>
      <w:color w:val="000000"/>
      <w:kern w:val="0"/>
      <w:sz w:val="21"/>
      <w:szCs w:val="21"/>
    </w:rPr>
  </w:style>
  <w:style w:type="paragraph" w:customStyle="1" w:styleId="329">
    <w:name w:val="xl132"/>
    <w:basedOn w:val="1"/>
    <w:qFormat/>
    <w:uiPriority w:val="0"/>
    <w:pPr>
      <w:widowControl/>
      <w:pBdr>
        <w:left w:val="single" w:color="auto" w:sz="8" w:space="0"/>
      </w:pBdr>
      <w:spacing w:before="100" w:beforeAutospacing="1" w:after="100" w:afterAutospacing="1"/>
    </w:pPr>
    <w:rPr>
      <w:rFonts w:ascii="宋体" w:hAnsi="宋体" w:cs="宋体"/>
      <w:color w:val="000000"/>
      <w:kern w:val="0"/>
      <w:sz w:val="21"/>
      <w:szCs w:val="21"/>
    </w:rPr>
  </w:style>
  <w:style w:type="paragraph" w:customStyle="1" w:styleId="330">
    <w:name w:val="xl133"/>
    <w:basedOn w:val="1"/>
    <w:qFormat/>
    <w:uiPriority w:val="0"/>
    <w:pPr>
      <w:widowControl/>
      <w:pBdr>
        <w:right w:val="single" w:color="auto" w:sz="8" w:space="0"/>
      </w:pBdr>
      <w:spacing w:before="100" w:beforeAutospacing="1" w:after="100" w:afterAutospacing="1"/>
    </w:pPr>
    <w:rPr>
      <w:rFonts w:ascii="宋体" w:hAnsi="宋体" w:cs="宋体"/>
      <w:color w:val="000000"/>
      <w:kern w:val="0"/>
      <w:sz w:val="21"/>
      <w:szCs w:val="21"/>
    </w:rPr>
  </w:style>
  <w:style w:type="paragraph" w:customStyle="1" w:styleId="331">
    <w:name w:val="xl134"/>
    <w:basedOn w:val="1"/>
    <w:qFormat/>
    <w:uiPriority w:val="0"/>
    <w:pPr>
      <w:widowControl/>
      <w:pBdr>
        <w:left w:val="single" w:color="auto" w:sz="8" w:space="0"/>
        <w:bottom w:val="single" w:color="auto" w:sz="8" w:space="0"/>
      </w:pBdr>
      <w:spacing w:before="100" w:beforeAutospacing="1" w:after="100" w:afterAutospacing="1"/>
    </w:pPr>
    <w:rPr>
      <w:rFonts w:ascii="宋体" w:hAnsi="宋体" w:cs="宋体"/>
      <w:color w:val="000000"/>
      <w:kern w:val="0"/>
      <w:sz w:val="21"/>
      <w:szCs w:val="21"/>
    </w:rPr>
  </w:style>
  <w:style w:type="paragraph" w:customStyle="1" w:styleId="332">
    <w:name w:val="xl135"/>
    <w:basedOn w:val="1"/>
    <w:qFormat/>
    <w:uiPriority w:val="0"/>
    <w:pPr>
      <w:widowControl/>
      <w:pBdr>
        <w:bottom w:val="single" w:color="auto" w:sz="8" w:space="0"/>
        <w:right w:val="single" w:color="auto" w:sz="8" w:space="0"/>
      </w:pBdr>
      <w:spacing w:before="100" w:beforeAutospacing="1" w:after="100" w:afterAutospacing="1"/>
    </w:pPr>
    <w:rPr>
      <w:rFonts w:ascii="宋体" w:hAnsi="宋体" w:cs="宋体"/>
      <w:color w:val="000000"/>
      <w:kern w:val="0"/>
      <w:sz w:val="21"/>
      <w:szCs w:val="21"/>
    </w:rPr>
  </w:style>
  <w:style w:type="paragraph" w:customStyle="1" w:styleId="333">
    <w:name w:val="xl136"/>
    <w:basedOn w:val="1"/>
    <w:qFormat/>
    <w:uiPriority w:val="0"/>
    <w:pPr>
      <w:widowControl/>
      <w:pBdr>
        <w:top w:val="single" w:color="auto" w:sz="8" w:space="0"/>
        <w:left w:val="single" w:color="auto" w:sz="8" w:space="0"/>
      </w:pBdr>
      <w:spacing w:before="100" w:beforeAutospacing="1" w:after="100" w:afterAutospacing="1"/>
      <w:jc w:val="center"/>
    </w:pPr>
    <w:rPr>
      <w:rFonts w:cs="Tahoma"/>
      <w:color w:val="000000"/>
      <w:kern w:val="0"/>
      <w:sz w:val="21"/>
      <w:szCs w:val="21"/>
    </w:rPr>
  </w:style>
  <w:style w:type="paragraph" w:customStyle="1" w:styleId="334">
    <w:name w:val="xl137"/>
    <w:basedOn w:val="1"/>
    <w:qFormat/>
    <w:uiPriority w:val="0"/>
    <w:pPr>
      <w:widowControl/>
      <w:pBdr>
        <w:top w:val="single" w:color="auto" w:sz="8" w:space="0"/>
        <w:right w:val="single" w:color="auto" w:sz="8" w:space="0"/>
      </w:pBdr>
      <w:spacing w:before="100" w:beforeAutospacing="1" w:after="100" w:afterAutospacing="1"/>
      <w:jc w:val="center"/>
    </w:pPr>
    <w:rPr>
      <w:rFonts w:cs="Tahoma"/>
      <w:color w:val="000000"/>
      <w:kern w:val="0"/>
      <w:sz w:val="21"/>
      <w:szCs w:val="21"/>
    </w:rPr>
  </w:style>
  <w:style w:type="paragraph" w:customStyle="1" w:styleId="335">
    <w:name w:val="xl138"/>
    <w:basedOn w:val="1"/>
    <w:qFormat/>
    <w:uiPriority w:val="0"/>
    <w:pPr>
      <w:widowControl/>
      <w:pBdr>
        <w:left w:val="single" w:color="auto" w:sz="8" w:space="0"/>
      </w:pBdr>
      <w:spacing w:before="100" w:beforeAutospacing="1" w:after="100" w:afterAutospacing="1"/>
      <w:jc w:val="center"/>
    </w:pPr>
    <w:rPr>
      <w:rFonts w:cs="Tahoma"/>
      <w:color w:val="000000"/>
      <w:kern w:val="0"/>
      <w:sz w:val="21"/>
      <w:szCs w:val="21"/>
    </w:rPr>
  </w:style>
  <w:style w:type="paragraph" w:customStyle="1" w:styleId="336">
    <w:name w:val="xl139"/>
    <w:basedOn w:val="1"/>
    <w:qFormat/>
    <w:uiPriority w:val="0"/>
    <w:pPr>
      <w:widowControl/>
      <w:pBdr>
        <w:right w:val="single" w:color="auto" w:sz="8" w:space="0"/>
      </w:pBdr>
      <w:spacing w:before="100" w:beforeAutospacing="1" w:after="100" w:afterAutospacing="1"/>
      <w:jc w:val="center"/>
    </w:pPr>
    <w:rPr>
      <w:rFonts w:cs="Tahoma"/>
      <w:color w:val="000000"/>
      <w:kern w:val="0"/>
      <w:sz w:val="21"/>
      <w:szCs w:val="21"/>
    </w:rPr>
  </w:style>
  <w:style w:type="paragraph" w:customStyle="1" w:styleId="337">
    <w:name w:val="xl140"/>
    <w:basedOn w:val="1"/>
    <w:qFormat/>
    <w:uiPriority w:val="0"/>
    <w:pPr>
      <w:widowControl/>
      <w:pBdr>
        <w:top w:val="single" w:color="auto" w:sz="8" w:space="0"/>
        <w:left w:val="single" w:color="auto" w:sz="8" w:space="0"/>
      </w:pBdr>
      <w:spacing w:before="100" w:beforeAutospacing="1" w:after="100" w:afterAutospacing="1"/>
      <w:jc w:val="left"/>
    </w:pPr>
    <w:rPr>
      <w:rFonts w:cs="Tahoma"/>
      <w:color w:val="000000"/>
      <w:kern w:val="0"/>
      <w:sz w:val="21"/>
      <w:szCs w:val="21"/>
    </w:rPr>
  </w:style>
  <w:style w:type="paragraph" w:customStyle="1" w:styleId="338">
    <w:name w:val="xl141"/>
    <w:basedOn w:val="1"/>
    <w:qFormat/>
    <w:uiPriority w:val="0"/>
    <w:pPr>
      <w:widowControl/>
      <w:pBdr>
        <w:top w:val="single" w:color="auto" w:sz="8" w:space="0"/>
      </w:pBdr>
      <w:spacing w:before="100" w:beforeAutospacing="1" w:after="100" w:afterAutospacing="1"/>
      <w:jc w:val="left"/>
    </w:pPr>
    <w:rPr>
      <w:rFonts w:cs="Tahoma"/>
      <w:color w:val="000000"/>
      <w:kern w:val="0"/>
      <w:sz w:val="21"/>
      <w:szCs w:val="21"/>
    </w:rPr>
  </w:style>
  <w:style w:type="paragraph" w:customStyle="1" w:styleId="339">
    <w:name w:val="xl142"/>
    <w:basedOn w:val="1"/>
    <w:qFormat/>
    <w:uiPriority w:val="0"/>
    <w:pPr>
      <w:widowControl/>
      <w:pBdr>
        <w:top w:val="single" w:color="auto" w:sz="8" w:space="0"/>
        <w:right w:val="single" w:color="auto" w:sz="8" w:space="0"/>
      </w:pBdr>
      <w:spacing w:before="100" w:beforeAutospacing="1" w:after="100" w:afterAutospacing="1"/>
      <w:jc w:val="left"/>
    </w:pPr>
    <w:rPr>
      <w:rFonts w:cs="Tahoma"/>
      <w:color w:val="000000"/>
      <w:kern w:val="0"/>
      <w:sz w:val="21"/>
      <w:szCs w:val="21"/>
    </w:rPr>
  </w:style>
  <w:style w:type="paragraph" w:customStyle="1" w:styleId="340">
    <w:name w:val="xl143"/>
    <w:basedOn w:val="1"/>
    <w:qFormat/>
    <w:uiPriority w:val="0"/>
    <w:pPr>
      <w:widowControl/>
      <w:spacing w:before="100" w:beforeAutospacing="1" w:after="100" w:afterAutospacing="1"/>
      <w:jc w:val="left"/>
    </w:pPr>
    <w:rPr>
      <w:rFonts w:ascii="宋体" w:hAnsi="宋体" w:cs="宋体"/>
      <w:color w:val="000000"/>
      <w:kern w:val="0"/>
      <w:sz w:val="21"/>
      <w:szCs w:val="21"/>
    </w:rPr>
  </w:style>
  <w:style w:type="paragraph" w:customStyle="1" w:styleId="341">
    <w:name w:val="xl144"/>
    <w:basedOn w:val="1"/>
    <w:qFormat/>
    <w:uiPriority w:val="0"/>
    <w:pPr>
      <w:widowControl/>
      <w:pBdr>
        <w:left w:val="single" w:color="auto" w:sz="8" w:space="0"/>
      </w:pBdr>
      <w:spacing w:before="100" w:beforeAutospacing="1" w:after="100" w:afterAutospacing="1"/>
      <w:jc w:val="left"/>
    </w:pPr>
    <w:rPr>
      <w:rFonts w:ascii="宋体" w:hAnsi="宋体" w:cs="宋体"/>
      <w:color w:val="000000"/>
      <w:kern w:val="0"/>
      <w:sz w:val="21"/>
      <w:szCs w:val="21"/>
    </w:rPr>
  </w:style>
  <w:style w:type="paragraph" w:customStyle="1" w:styleId="342">
    <w:name w:val="xl145"/>
    <w:basedOn w:val="1"/>
    <w:qFormat/>
    <w:uiPriority w:val="0"/>
    <w:pPr>
      <w:widowControl/>
      <w:pBdr>
        <w:right w:val="single" w:color="auto" w:sz="8" w:space="0"/>
      </w:pBdr>
      <w:spacing w:before="100" w:beforeAutospacing="1" w:after="100" w:afterAutospacing="1"/>
      <w:jc w:val="left"/>
    </w:pPr>
    <w:rPr>
      <w:rFonts w:ascii="宋体" w:hAnsi="宋体" w:cs="宋体"/>
      <w:color w:val="000000"/>
      <w:kern w:val="0"/>
      <w:sz w:val="21"/>
      <w:szCs w:val="21"/>
    </w:rPr>
  </w:style>
  <w:style w:type="paragraph" w:customStyle="1" w:styleId="343">
    <w:name w:val="xl146"/>
    <w:basedOn w:val="1"/>
    <w:qFormat/>
    <w:uiPriority w:val="0"/>
    <w:pPr>
      <w:widowControl/>
      <w:pBdr>
        <w:left w:val="single" w:color="auto" w:sz="8" w:space="0"/>
        <w:bottom w:val="single" w:color="auto" w:sz="8" w:space="0"/>
      </w:pBdr>
      <w:spacing w:before="100" w:beforeAutospacing="1" w:after="100" w:afterAutospacing="1"/>
      <w:jc w:val="left"/>
    </w:pPr>
    <w:rPr>
      <w:rFonts w:ascii="宋体" w:hAnsi="宋体" w:cs="宋体"/>
      <w:color w:val="000000"/>
      <w:kern w:val="0"/>
      <w:sz w:val="21"/>
      <w:szCs w:val="21"/>
    </w:rPr>
  </w:style>
  <w:style w:type="paragraph" w:customStyle="1" w:styleId="344">
    <w:name w:val="xl14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45">
    <w:name w:val="xl148"/>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46">
    <w:name w:val="xl149"/>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pPr>
    <w:rPr>
      <w:rFonts w:ascii="宋体" w:hAnsi="宋体" w:cs="宋体"/>
      <w:color w:val="000000"/>
      <w:kern w:val="0"/>
      <w:sz w:val="21"/>
      <w:szCs w:val="21"/>
    </w:rPr>
  </w:style>
  <w:style w:type="paragraph" w:customStyle="1" w:styleId="347">
    <w:name w:val="xl150"/>
    <w:basedOn w:val="1"/>
    <w:qFormat/>
    <w:uiPriority w:val="0"/>
    <w:pPr>
      <w:widowControl/>
      <w:pBdr>
        <w:top w:val="single" w:color="auto" w:sz="8" w:space="0"/>
        <w:left w:val="single" w:color="auto" w:sz="8" w:space="0"/>
        <w:bottom w:val="single" w:color="auto" w:sz="8" w:space="0"/>
      </w:pBdr>
      <w:spacing w:before="100" w:beforeAutospacing="1" w:after="100" w:afterAutospacing="1"/>
    </w:pPr>
    <w:rPr>
      <w:rFonts w:cs="Tahoma"/>
      <w:color w:val="000000"/>
      <w:kern w:val="0"/>
      <w:sz w:val="21"/>
      <w:szCs w:val="21"/>
    </w:rPr>
  </w:style>
  <w:style w:type="paragraph" w:customStyle="1" w:styleId="348">
    <w:name w:val="xl151"/>
    <w:basedOn w:val="1"/>
    <w:qFormat/>
    <w:uiPriority w:val="0"/>
    <w:pPr>
      <w:widowControl/>
      <w:pBdr>
        <w:top w:val="single" w:color="auto" w:sz="8" w:space="0"/>
        <w:bottom w:val="single" w:color="auto" w:sz="8" w:space="0"/>
      </w:pBdr>
      <w:spacing w:before="100" w:beforeAutospacing="1" w:after="100" w:afterAutospacing="1"/>
    </w:pPr>
    <w:rPr>
      <w:rFonts w:cs="Tahoma"/>
      <w:color w:val="000000"/>
      <w:kern w:val="0"/>
      <w:sz w:val="21"/>
      <w:szCs w:val="21"/>
    </w:rPr>
  </w:style>
  <w:style w:type="paragraph" w:customStyle="1" w:styleId="349">
    <w:name w:val="xl152"/>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cs="Tahoma"/>
      <w:color w:val="000000"/>
      <w:kern w:val="0"/>
      <w:sz w:val="21"/>
      <w:szCs w:val="21"/>
    </w:rPr>
  </w:style>
  <w:style w:type="paragraph" w:customStyle="1" w:styleId="350">
    <w:name w:val="xl153"/>
    <w:basedOn w:val="1"/>
    <w:qFormat/>
    <w:uiPriority w:val="0"/>
    <w:pPr>
      <w:widowControl/>
      <w:pBdr>
        <w:top w:val="single" w:color="auto" w:sz="8" w:space="0"/>
        <w:bottom w:val="single" w:color="auto" w:sz="8" w:space="0"/>
      </w:pBdr>
      <w:spacing w:before="100" w:beforeAutospacing="1" w:after="100" w:afterAutospacing="1"/>
    </w:pPr>
    <w:rPr>
      <w:rFonts w:ascii="宋体" w:hAnsi="宋体" w:cs="宋体"/>
      <w:color w:val="000000"/>
      <w:kern w:val="0"/>
      <w:sz w:val="21"/>
      <w:szCs w:val="21"/>
    </w:rPr>
  </w:style>
  <w:style w:type="paragraph" w:customStyle="1" w:styleId="351">
    <w:name w:val="xl154"/>
    <w:basedOn w:val="1"/>
    <w:qFormat/>
    <w:uiPriority w:val="0"/>
    <w:pPr>
      <w:widowControl/>
      <w:pBdr>
        <w:left w:val="single" w:color="auto" w:sz="8" w:space="0"/>
      </w:pBdr>
      <w:spacing w:before="100" w:beforeAutospacing="1" w:after="100" w:afterAutospacing="1"/>
      <w:jc w:val="left"/>
    </w:pPr>
    <w:rPr>
      <w:rFonts w:ascii="宋体" w:hAnsi="宋体" w:cs="宋体"/>
      <w:kern w:val="0"/>
    </w:rPr>
  </w:style>
  <w:style w:type="paragraph" w:customStyle="1" w:styleId="352">
    <w:name w:val="xl155"/>
    <w:basedOn w:val="1"/>
    <w:qFormat/>
    <w:uiPriority w:val="0"/>
    <w:pPr>
      <w:widowControl/>
      <w:pBdr>
        <w:right w:val="single" w:color="auto" w:sz="8" w:space="0"/>
      </w:pBdr>
      <w:spacing w:before="100" w:beforeAutospacing="1" w:after="100" w:afterAutospacing="1"/>
      <w:jc w:val="left"/>
    </w:pPr>
    <w:rPr>
      <w:rFonts w:ascii="宋体" w:hAnsi="宋体" w:cs="宋体"/>
      <w:kern w:val="0"/>
    </w:rPr>
  </w:style>
  <w:style w:type="paragraph" w:customStyle="1" w:styleId="353">
    <w:name w:val="xl156"/>
    <w:basedOn w:val="1"/>
    <w:qFormat/>
    <w:uiPriority w:val="0"/>
    <w:pPr>
      <w:widowControl/>
      <w:pBdr>
        <w:left w:val="single" w:color="auto" w:sz="8" w:space="0"/>
        <w:bottom w:val="single" w:color="000000" w:sz="8" w:space="0"/>
      </w:pBdr>
      <w:spacing w:before="100" w:beforeAutospacing="1" w:after="100" w:afterAutospacing="1"/>
      <w:jc w:val="left"/>
    </w:pPr>
    <w:rPr>
      <w:rFonts w:ascii="宋体" w:hAnsi="宋体" w:cs="宋体"/>
      <w:kern w:val="0"/>
    </w:rPr>
  </w:style>
  <w:style w:type="paragraph" w:customStyle="1" w:styleId="354">
    <w:name w:val="xl157"/>
    <w:basedOn w:val="1"/>
    <w:qFormat/>
    <w:uiPriority w:val="0"/>
    <w:pPr>
      <w:widowControl/>
      <w:pBdr>
        <w:bottom w:val="single" w:color="000000" w:sz="8" w:space="0"/>
        <w:right w:val="single" w:color="auto" w:sz="8" w:space="0"/>
      </w:pBdr>
      <w:spacing w:before="100" w:beforeAutospacing="1" w:after="100" w:afterAutospacing="1"/>
      <w:jc w:val="left"/>
    </w:pPr>
    <w:rPr>
      <w:rFonts w:ascii="宋体" w:hAnsi="宋体" w:cs="宋体"/>
      <w:kern w:val="0"/>
    </w:rPr>
  </w:style>
  <w:style w:type="paragraph" w:customStyle="1" w:styleId="355">
    <w:name w:val="xl158"/>
    <w:basedOn w:val="1"/>
    <w:qFormat/>
    <w:uiPriority w:val="0"/>
    <w:pPr>
      <w:widowControl/>
      <w:pBdr>
        <w:top w:val="single" w:color="auto" w:sz="8" w:space="0"/>
        <w:right w:val="single" w:color="auto" w:sz="8" w:space="0"/>
      </w:pBdr>
      <w:spacing w:before="100" w:beforeAutospacing="1" w:after="100" w:afterAutospacing="1"/>
      <w:jc w:val="left"/>
    </w:pPr>
    <w:rPr>
      <w:rFonts w:ascii="宋体" w:hAnsi="宋体" w:cs="宋体"/>
      <w:kern w:val="0"/>
    </w:rPr>
  </w:style>
  <w:style w:type="paragraph" w:customStyle="1" w:styleId="356">
    <w:name w:val="xl159"/>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kern w:val="0"/>
      <w:sz w:val="21"/>
      <w:szCs w:val="21"/>
    </w:rPr>
  </w:style>
  <w:style w:type="paragraph" w:customStyle="1" w:styleId="357">
    <w:name w:val="xl160"/>
    <w:basedOn w:val="1"/>
    <w:qFormat/>
    <w:uiPriority w:val="0"/>
    <w:pPr>
      <w:widowControl/>
      <w:pBdr>
        <w:left w:val="single" w:color="auto" w:sz="8" w:space="0"/>
      </w:pBdr>
      <w:spacing w:before="100" w:beforeAutospacing="1" w:after="100" w:afterAutospacing="1"/>
      <w:jc w:val="center"/>
    </w:pPr>
    <w:rPr>
      <w:rFonts w:ascii="宋体" w:hAnsi="宋体" w:cs="宋体"/>
      <w:kern w:val="0"/>
      <w:sz w:val="21"/>
      <w:szCs w:val="21"/>
    </w:rPr>
  </w:style>
  <w:style w:type="paragraph" w:customStyle="1" w:styleId="358">
    <w:name w:val="xl161"/>
    <w:basedOn w:val="1"/>
    <w:qFormat/>
    <w:uiPriority w:val="0"/>
    <w:pPr>
      <w:widowControl/>
      <w:pBdr>
        <w:left w:val="single" w:color="auto" w:sz="8" w:space="0"/>
        <w:bottom w:val="single" w:color="000000" w:sz="8" w:space="0"/>
      </w:pBdr>
      <w:spacing w:before="100" w:beforeAutospacing="1" w:after="100" w:afterAutospacing="1"/>
      <w:jc w:val="center"/>
    </w:pPr>
    <w:rPr>
      <w:rFonts w:ascii="宋体" w:hAnsi="宋体" w:cs="宋体"/>
      <w:kern w:val="0"/>
      <w:sz w:val="21"/>
      <w:szCs w:val="21"/>
    </w:rPr>
  </w:style>
  <w:style w:type="paragraph" w:customStyle="1" w:styleId="359">
    <w:name w:val="xl162"/>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cs="宋体"/>
      <w:kern w:val="0"/>
    </w:rPr>
  </w:style>
  <w:style w:type="paragraph" w:customStyle="1" w:styleId="360">
    <w:name w:val="msonormal"/>
    <w:basedOn w:val="1"/>
    <w:uiPriority w:val="0"/>
    <w:pPr>
      <w:widowControl/>
      <w:spacing w:before="100" w:beforeAutospacing="1" w:after="100" w:afterAutospacing="1"/>
      <w:jc w:val="left"/>
    </w:pPr>
    <w:rPr>
      <w:rFonts w:ascii="宋体" w:hAnsi="宋体" w:cs="宋体"/>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46CBA-2C17-449C-BE10-4E770A49F54D}">
  <ds:schemaRefs/>
</ds:datastoreItem>
</file>

<file path=customXml/itemProps3.xml><?xml version="1.0" encoding="utf-8"?>
<ds:datastoreItem xmlns:ds="http://schemas.openxmlformats.org/officeDocument/2006/customXml" ds:itemID="{64C7DE35-CE90-4F2A-BC3D-D6B7072CCE49}">
  <ds:schemaRefs/>
</ds:datastoreItem>
</file>

<file path=docProps/app.xml><?xml version="1.0" encoding="utf-8"?>
<Properties xmlns="http://schemas.openxmlformats.org/officeDocument/2006/extended-properties" xmlns:vt="http://schemas.openxmlformats.org/officeDocument/2006/docPropsVTypes">
  <Template>Normal</Template>
  <Pages>16</Pages>
  <Words>2128</Words>
  <Characters>12133</Characters>
  <Lines>101</Lines>
  <Paragraphs>28</Paragraphs>
  <TotalTime>702</TotalTime>
  <ScaleCrop>false</ScaleCrop>
  <LinksUpToDate>false</LinksUpToDate>
  <CharactersWithSpaces>14233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2020-06-23T00:32:00Z</dcterms:created>
  <dc:creator>Administrator</dc:creator>
  <cp:lastModifiedBy>严智能</cp:lastModifiedBy>
  <cp:lastPrinted>2021-06-30T07:14:00Z</cp:lastPrinted>
  <dcterms:modified xsi:type="dcterms:W3CDTF">2022-11-30T09:08:02Z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